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CDE" w:rsidP="00EE2EEA" w:rsidRDefault="006D6CDE" w14:paraId="5A54E117" w14:textId="77777777">
      <w:pPr>
        <w:pStyle w:val="BodyText"/>
        <w:spacing w:after="0"/>
        <w:ind w:firstLine="0"/>
        <w:rPr>
          <w:b/>
          <w:bCs/>
        </w:rPr>
      </w:pPr>
    </w:p>
    <w:p w:rsidR="006D6CDE" w:rsidP="00EE2EEA" w:rsidRDefault="006D6CDE" w14:paraId="5A54E118" w14:textId="77777777">
      <w:pPr>
        <w:pStyle w:val="BodyText"/>
        <w:spacing w:after="0"/>
        <w:ind w:firstLine="0"/>
        <w:rPr>
          <w:b/>
          <w:bCs/>
        </w:rPr>
      </w:pPr>
    </w:p>
    <w:p w:rsidR="006D6CDE" w:rsidP="00EE2EEA" w:rsidRDefault="006D6CDE" w14:paraId="5A54E119" w14:textId="77777777">
      <w:pPr>
        <w:pStyle w:val="BodyText"/>
        <w:spacing w:after="0"/>
        <w:ind w:firstLine="0"/>
        <w:rPr>
          <w:b/>
          <w:bCs/>
        </w:rPr>
      </w:pPr>
    </w:p>
    <w:p w:rsidR="006D6CDE" w:rsidP="00EE2EEA" w:rsidRDefault="006D6CDE" w14:paraId="5A54E11A" w14:textId="77777777">
      <w:pPr>
        <w:pStyle w:val="BodyText"/>
        <w:spacing w:after="0"/>
        <w:ind w:firstLine="0"/>
        <w:rPr>
          <w:b/>
          <w:bCs/>
        </w:rPr>
      </w:pPr>
    </w:p>
    <w:p w:rsidR="006D6CDE" w:rsidP="00EE2EEA" w:rsidRDefault="006D6CDE" w14:paraId="5A54E11B" w14:textId="77777777">
      <w:pPr>
        <w:pStyle w:val="BodyText"/>
        <w:spacing w:after="0"/>
        <w:ind w:firstLine="0"/>
        <w:rPr>
          <w:b/>
          <w:bCs/>
        </w:rPr>
      </w:pPr>
    </w:p>
    <w:p w:rsidR="006D6CDE" w:rsidP="00EE2EEA" w:rsidRDefault="006D6CDE" w14:paraId="5A54E11C" w14:textId="77777777">
      <w:pPr>
        <w:pStyle w:val="BodyText"/>
        <w:spacing w:after="0"/>
        <w:ind w:firstLine="0"/>
        <w:rPr>
          <w:b/>
          <w:bCs/>
        </w:rPr>
      </w:pPr>
    </w:p>
    <w:p w:rsidR="006D6CDE" w:rsidP="00A741E0" w:rsidRDefault="006D6CDE" w14:paraId="5A54E11D" w14:textId="77777777">
      <w:pPr>
        <w:pStyle w:val="BodyText"/>
        <w:spacing w:after="0"/>
        <w:ind w:firstLine="0"/>
        <w:jc w:val="center"/>
        <w:rPr>
          <w:b/>
          <w:bCs/>
        </w:rPr>
      </w:pPr>
    </w:p>
    <w:p w:rsidR="00A741E0" w:rsidP="00A741E0" w:rsidRDefault="00A741E0" w14:paraId="5A54E11E" w14:textId="77777777">
      <w:pPr>
        <w:pStyle w:val="BodyText"/>
        <w:spacing w:after="0"/>
        <w:ind w:firstLine="0"/>
        <w:jc w:val="center"/>
        <w:rPr>
          <w:b/>
          <w:bCs/>
        </w:rPr>
      </w:pPr>
    </w:p>
    <w:p w:rsidR="00A741E0" w:rsidP="00A741E0" w:rsidRDefault="00A741E0" w14:paraId="5A54E11F" w14:textId="77777777">
      <w:pPr>
        <w:pStyle w:val="BodyText"/>
        <w:spacing w:after="0"/>
        <w:ind w:firstLine="0"/>
        <w:jc w:val="center"/>
        <w:rPr>
          <w:b/>
          <w:bCs/>
        </w:rPr>
      </w:pPr>
    </w:p>
    <w:p w:rsidR="00137892" w:rsidP="00A741E0" w:rsidRDefault="00137892" w14:paraId="5A54E120" w14:textId="77777777">
      <w:pPr>
        <w:pStyle w:val="BodyText"/>
        <w:spacing w:after="0"/>
        <w:ind w:firstLine="0"/>
        <w:jc w:val="center"/>
        <w:rPr>
          <w:b/>
          <w:bCs/>
          <w:sz w:val="48"/>
        </w:rPr>
      </w:pPr>
    </w:p>
    <w:p w:rsidR="00137892" w:rsidP="00A741E0" w:rsidRDefault="00137892" w14:paraId="5A54E121" w14:textId="77777777">
      <w:pPr>
        <w:pStyle w:val="BodyText"/>
        <w:spacing w:after="0"/>
        <w:ind w:firstLine="0"/>
        <w:jc w:val="center"/>
        <w:rPr>
          <w:b/>
          <w:bCs/>
          <w:sz w:val="48"/>
        </w:rPr>
      </w:pPr>
    </w:p>
    <w:p w:rsidR="00402CE0" w:rsidP="00A741E0" w:rsidRDefault="00402CE0" w14:paraId="5A54E122" w14:textId="77777777">
      <w:pPr>
        <w:pStyle w:val="BodyText"/>
        <w:spacing w:after="0"/>
        <w:ind w:firstLine="0"/>
        <w:jc w:val="center"/>
        <w:rPr>
          <w:b/>
          <w:bCs/>
          <w:sz w:val="48"/>
        </w:rPr>
      </w:pPr>
    </w:p>
    <w:p w:rsidRPr="00A741E0" w:rsidR="00A741E0" w:rsidP="00A741E0" w:rsidRDefault="00A741E0" w14:paraId="5A54E123" w14:textId="77777777">
      <w:pPr>
        <w:pStyle w:val="BodyText"/>
        <w:spacing w:after="0"/>
        <w:ind w:firstLine="0"/>
        <w:jc w:val="center"/>
        <w:rPr>
          <w:b/>
          <w:bCs/>
          <w:sz w:val="48"/>
        </w:rPr>
      </w:pPr>
      <w:r w:rsidRPr="00A741E0">
        <w:rPr>
          <w:b/>
          <w:bCs/>
          <w:sz w:val="48"/>
        </w:rPr>
        <w:t>APEC Chemical Dialogue:</w:t>
      </w:r>
    </w:p>
    <w:p w:rsidR="00A741E0" w:rsidP="00A741E0" w:rsidRDefault="00A741E0" w14:paraId="5A54E124" w14:textId="77777777">
      <w:pPr>
        <w:pStyle w:val="BodyText"/>
        <w:spacing w:after="0"/>
        <w:ind w:firstLine="0"/>
        <w:jc w:val="center"/>
        <w:rPr>
          <w:b/>
          <w:bCs/>
          <w:sz w:val="48"/>
        </w:rPr>
      </w:pPr>
      <w:r w:rsidRPr="00A741E0">
        <w:rPr>
          <w:b/>
          <w:bCs/>
          <w:sz w:val="48"/>
        </w:rPr>
        <w:t>Regulatory Cooperation Report</w:t>
      </w:r>
    </w:p>
    <w:p w:rsidR="00194F69" w:rsidP="00A741E0" w:rsidRDefault="00194F69" w14:paraId="13A3A6CC" w14:textId="7D5062A7">
      <w:pPr>
        <w:pStyle w:val="BodyText"/>
        <w:spacing w:after="0"/>
        <w:ind w:firstLine="0"/>
        <w:jc w:val="center"/>
        <w:rPr>
          <w:b/>
          <w:bCs/>
          <w:sz w:val="48"/>
        </w:rPr>
      </w:pPr>
    </w:p>
    <w:p w:rsidR="00194F69" w:rsidP="00A741E0" w:rsidRDefault="00194F69" w14:paraId="71D0C429" w14:textId="77777777">
      <w:pPr>
        <w:pStyle w:val="BodyText"/>
        <w:spacing w:after="0"/>
        <w:ind w:firstLine="0"/>
        <w:jc w:val="center"/>
        <w:rPr>
          <w:b/>
          <w:bCs/>
          <w:sz w:val="48"/>
        </w:rPr>
      </w:pPr>
    </w:p>
    <w:p w:rsidRPr="00A741E0" w:rsidR="00194F69" w:rsidP="00A741E0" w:rsidRDefault="00CC0146" w14:paraId="564BECFF" w14:textId="1AEABF59">
      <w:pPr>
        <w:pStyle w:val="BodyText"/>
        <w:spacing w:after="0"/>
        <w:ind w:firstLine="0"/>
        <w:jc w:val="center"/>
        <w:rPr>
          <w:b/>
          <w:bCs/>
          <w:sz w:val="48"/>
        </w:rPr>
      </w:pPr>
      <w:r>
        <w:rPr>
          <w:b/>
          <w:bCs/>
          <w:sz w:val="48"/>
        </w:rPr>
        <w:t>1</w:t>
      </w:r>
      <w:r w:rsidR="00194F69">
        <w:rPr>
          <w:b/>
          <w:bCs/>
          <w:sz w:val="48"/>
        </w:rPr>
        <w:t xml:space="preserve"> </w:t>
      </w:r>
      <w:r>
        <w:rPr>
          <w:b/>
          <w:bCs/>
          <w:sz w:val="48"/>
        </w:rPr>
        <w:t>December</w:t>
      </w:r>
      <w:r w:rsidR="00194F69">
        <w:rPr>
          <w:b/>
          <w:bCs/>
          <w:sz w:val="48"/>
        </w:rPr>
        <w:t xml:space="preserve"> 2020</w:t>
      </w:r>
    </w:p>
    <w:p w:rsidRPr="00A741E0" w:rsidR="006D6CDE" w:rsidP="00EE2EEA" w:rsidRDefault="006D6CDE" w14:paraId="5A54E125" w14:textId="77777777">
      <w:pPr>
        <w:pStyle w:val="BodyText"/>
        <w:spacing w:after="0"/>
        <w:ind w:firstLine="0"/>
        <w:rPr>
          <w:b/>
          <w:bCs/>
          <w:sz w:val="36"/>
        </w:rPr>
      </w:pPr>
    </w:p>
    <w:p w:rsidR="006D6CDE" w:rsidP="00EE2EEA" w:rsidRDefault="006D6CDE" w14:paraId="5A54E126" w14:textId="77777777">
      <w:pPr>
        <w:pStyle w:val="BodyText"/>
        <w:spacing w:after="0"/>
        <w:ind w:firstLine="0"/>
        <w:rPr>
          <w:b/>
          <w:bCs/>
        </w:rPr>
      </w:pPr>
    </w:p>
    <w:p w:rsidR="006D6CDE" w:rsidP="00EE2EEA" w:rsidRDefault="006D6CDE" w14:paraId="5A54E127" w14:textId="77777777">
      <w:pPr>
        <w:pStyle w:val="BodyText"/>
        <w:spacing w:after="0"/>
        <w:ind w:firstLine="0"/>
        <w:rPr>
          <w:b/>
          <w:bCs/>
        </w:rPr>
      </w:pPr>
    </w:p>
    <w:p w:rsidR="006D6CDE" w:rsidP="00EE2EEA" w:rsidRDefault="006D6CDE" w14:paraId="5A54E128" w14:textId="77777777">
      <w:pPr>
        <w:pStyle w:val="BodyText"/>
        <w:spacing w:after="0"/>
        <w:ind w:firstLine="0"/>
        <w:rPr>
          <w:b/>
          <w:bCs/>
        </w:rPr>
      </w:pPr>
    </w:p>
    <w:p w:rsidR="006D6CDE" w:rsidP="00EE2EEA" w:rsidRDefault="006D6CDE" w14:paraId="5A54E129" w14:textId="77777777">
      <w:pPr>
        <w:pStyle w:val="BodyText"/>
        <w:spacing w:after="0"/>
        <w:ind w:firstLine="0"/>
        <w:rPr>
          <w:b/>
          <w:bCs/>
        </w:rPr>
      </w:pPr>
    </w:p>
    <w:p w:rsidR="006D6CDE" w:rsidP="00EE2EEA" w:rsidRDefault="006D6CDE" w14:paraId="5A54E12A" w14:textId="77777777">
      <w:pPr>
        <w:pStyle w:val="BodyText"/>
        <w:spacing w:after="0"/>
        <w:ind w:firstLine="0"/>
        <w:rPr>
          <w:b/>
          <w:bCs/>
        </w:rPr>
      </w:pPr>
    </w:p>
    <w:p w:rsidR="006D6CDE" w:rsidP="00EE2EEA" w:rsidRDefault="006D6CDE" w14:paraId="5A54E12B" w14:textId="77777777">
      <w:pPr>
        <w:pStyle w:val="BodyText"/>
        <w:spacing w:after="0"/>
        <w:ind w:firstLine="0"/>
        <w:rPr>
          <w:b/>
          <w:bCs/>
        </w:rPr>
      </w:pPr>
    </w:p>
    <w:p w:rsidR="006D6CDE" w:rsidP="00EE2EEA" w:rsidRDefault="006D6CDE" w14:paraId="5A54E12C" w14:textId="77777777">
      <w:pPr>
        <w:pStyle w:val="BodyText"/>
        <w:spacing w:after="0"/>
        <w:ind w:firstLine="0"/>
        <w:rPr>
          <w:b/>
          <w:bCs/>
        </w:rPr>
      </w:pPr>
    </w:p>
    <w:p w:rsidR="006D6CDE" w:rsidP="00EE2EEA" w:rsidRDefault="006D6CDE" w14:paraId="5A54E12D" w14:textId="77777777">
      <w:pPr>
        <w:pStyle w:val="BodyText"/>
        <w:spacing w:after="0"/>
        <w:ind w:firstLine="0"/>
        <w:rPr>
          <w:b/>
          <w:bCs/>
        </w:rPr>
      </w:pPr>
    </w:p>
    <w:p w:rsidR="006D6CDE" w:rsidP="00EE2EEA" w:rsidRDefault="006D6CDE" w14:paraId="5A54E12E" w14:textId="77777777">
      <w:pPr>
        <w:pStyle w:val="BodyText"/>
        <w:spacing w:after="0"/>
        <w:ind w:firstLine="0"/>
        <w:rPr>
          <w:b/>
          <w:bCs/>
        </w:rPr>
      </w:pPr>
    </w:p>
    <w:p w:rsidR="006D6CDE" w:rsidP="00EE2EEA" w:rsidRDefault="006D6CDE" w14:paraId="5A54E12F" w14:textId="77777777">
      <w:pPr>
        <w:pStyle w:val="BodyText"/>
        <w:spacing w:after="0"/>
        <w:ind w:firstLine="0"/>
        <w:rPr>
          <w:b/>
          <w:bCs/>
        </w:rPr>
      </w:pPr>
    </w:p>
    <w:p w:rsidR="006D6CDE" w:rsidP="00EE2EEA" w:rsidRDefault="006D6CDE" w14:paraId="5A54E130" w14:textId="77777777">
      <w:pPr>
        <w:pStyle w:val="BodyText"/>
        <w:spacing w:after="0"/>
        <w:ind w:firstLine="0"/>
        <w:rPr>
          <w:b/>
          <w:bCs/>
        </w:rPr>
      </w:pPr>
    </w:p>
    <w:p w:rsidR="006D6CDE" w:rsidP="00EE2EEA" w:rsidRDefault="006D6CDE" w14:paraId="5A54E131" w14:textId="77777777">
      <w:pPr>
        <w:pStyle w:val="BodyText"/>
        <w:spacing w:after="0"/>
        <w:ind w:firstLine="0"/>
        <w:rPr>
          <w:b/>
          <w:bCs/>
        </w:rPr>
      </w:pPr>
    </w:p>
    <w:p w:rsidR="006D6CDE" w:rsidP="00EE2EEA" w:rsidRDefault="006D6CDE" w14:paraId="5A54E132" w14:textId="77777777">
      <w:pPr>
        <w:pStyle w:val="BodyText"/>
        <w:spacing w:after="0"/>
        <w:ind w:firstLine="0"/>
        <w:rPr>
          <w:b/>
          <w:bCs/>
        </w:rPr>
      </w:pPr>
    </w:p>
    <w:p w:rsidR="006D6CDE" w:rsidP="00EE2EEA" w:rsidRDefault="006D6CDE" w14:paraId="5A54E133" w14:textId="77777777">
      <w:pPr>
        <w:pStyle w:val="BodyText"/>
        <w:spacing w:after="0"/>
        <w:ind w:firstLine="0"/>
        <w:rPr>
          <w:b/>
          <w:bCs/>
        </w:rPr>
      </w:pPr>
    </w:p>
    <w:p w:rsidR="006D6CDE" w:rsidP="00EE2EEA" w:rsidRDefault="006D6CDE" w14:paraId="5A54E134" w14:textId="77777777">
      <w:pPr>
        <w:pStyle w:val="BodyText"/>
        <w:spacing w:after="0"/>
        <w:ind w:firstLine="0"/>
        <w:rPr>
          <w:b/>
          <w:bCs/>
        </w:rPr>
      </w:pPr>
    </w:p>
    <w:p w:rsidR="006D6CDE" w:rsidP="00EE2EEA" w:rsidRDefault="006D6CDE" w14:paraId="5A54E135" w14:textId="77777777">
      <w:pPr>
        <w:pStyle w:val="BodyText"/>
        <w:spacing w:after="0"/>
        <w:ind w:firstLine="0"/>
        <w:rPr>
          <w:b/>
          <w:bCs/>
        </w:rPr>
      </w:pPr>
    </w:p>
    <w:p w:rsidR="006D6CDE" w:rsidP="00EE2EEA" w:rsidRDefault="006D6CDE" w14:paraId="5A54E136" w14:textId="77777777">
      <w:pPr>
        <w:pStyle w:val="BodyText"/>
        <w:spacing w:after="0"/>
        <w:ind w:firstLine="0"/>
        <w:rPr>
          <w:b/>
          <w:bCs/>
        </w:rPr>
      </w:pPr>
    </w:p>
    <w:p w:rsidR="006D6CDE" w:rsidP="00EE2EEA" w:rsidRDefault="006D6CDE" w14:paraId="5A54E137" w14:textId="77777777">
      <w:pPr>
        <w:pStyle w:val="BodyText"/>
        <w:spacing w:after="0"/>
        <w:ind w:firstLine="0"/>
        <w:rPr>
          <w:b/>
          <w:bCs/>
        </w:rPr>
      </w:pPr>
    </w:p>
    <w:p w:rsidR="006D6CDE" w:rsidP="00EE2EEA" w:rsidRDefault="006D6CDE" w14:paraId="5A54E138" w14:textId="77777777">
      <w:pPr>
        <w:pStyle w:val="BodyText"/>
        <w:spacing w:after="0"/>
        <w:ind w:firstLine="0"/>
        <w:rPr>
          <w:b/>
          <w:bCs/>
        </w:rPr>
      </w:pPr>
    </w:p>
    <w:p w:rsidR="00F51F5C" w:rsidP="00EE2EEA" w:rsidRDefault="009F34D6" w14:paraId="5D8375C8" w14:textId="109A9D0F">
      <w:pPr>
        <w:pStyle w:val="BodyText"/>
        <w:spacing w:after="0"/>
        <w:ind w:firstLine="0"/>
        <w:rPr>
          <w:b/>
          <w:bCs/>
          <w:sz w:val="32"/>
          <w:szCs w:val="32"/>
        </w:rPr>
      </w:pPr>
      <w:r w:rsidRPr="00F51F5C">
        <w:rPr>
          <w:b/>
          <w:bCs/>
          <w:sz w:val="32"/>
          <w:szCs w:val="32"/>
        </w:rPr>
        <w:lastRenderedPageBreak/>
        <w:t xml:space="preserve">APEC </w:t>
      </w:r>
      <w:r w:rsidRPr="00F51F5C" w:rsidR="00EE2EEA">
        <w:rPr>
          <w:b/>
          <w:bCs/>
          <w:sz w:val="32"/>
          <w:szCs w:val="32"/>
        </w:rPr>
        <w:t xml:space="preserve">Chemical Dialogue Regulatory Cooperation Report </w:t>
      </w:r>
    </w:p>
    <w:sdt>
      <w:sdtPr>
        <w:rPr>
          <w:rFonts w:ascii="Calibri" w:hAnsi="Calibri" w:cs="Calibri" w:eastAsiaTheme="minorHAnsi"/>
          <w:b w:val="0"/>
          <w:bCs w:val="0"/>
          <w:color w:val="auto"/>
          <w:sz w:val="22"/>
          <w:szCs w:val="22"/>
          <w:lang w:eastAsia="en-US"/>
        </w:rPr>
        <w:id w:val="-1443750374"/>
        <w:docPartObj>
          <w:docPartGallery w:val="Table of Contents"/>
          <w:docPartUnique/>
        </w:docPartObj>
      </w:sdtPr>
      <w:sdtEndPr>
        <w:rPr>
          <w:noProof/>
        </w:rPr>
      </w:sdtEndPr>
      <w:sdtContent>
        <w:p w:rsidR="00F51F5C" w:rsidRDefault="00F51F5C" w14:paraId="60C72F0F" w14:textId="1688122E">
          <w:pPr>
            <w:pStyle w:val="TOCHeading"/>
          </w:pPr>
          <w:r>
            <w:t>Table of Contents</w:t>
          </w:r>
        </w:p>
        <w:p w:rsidR="00F51F5C" w:rsidRDefault="00F51F5C" w14:paraId="6BCF282E" w14:textId="77777777">
          <w:pPr>
            <w:pStyle w:val="TOC1"/>
            <w:tabs>
              <w:tab w:val="left" w:pos="440"/>
              <w:tab w:val="right" w:leader="dot" w:pos="9350"/>
            </w:tabs>
            <w:rPr>
              <w:rFonts w:asciiTheme="minorHAnsi" w:hAnsiTheme="minorHAnsi" w:eastAsiaTheme="minorEastAsia" w:cstheme="minorBidi"/>
              <w:noProof/>
            </w:rPr>
          </w:pPr>
          <w:r>
            <w:rPr>
              <w:b/>
              <w:bCs/>
              <w:noProof/>
            </w:rPr>
            <w:fldChar w:fldCharType="begin"/>
          </w:r>
          <w:r>
            <w:rPr>
              <w:b/>
              <w:bCs/>
              <w:noProof/>
            </w:rPr>
            <w:instrText xml:space="preserve"> TOC \o "1-3" \h \z \u </w:instrText>
          </w:r>
          <w:r>
            <w:rPr>
              <w:b/>
              <w:bCs/>
              <w:noProof/>
            </w:rPr>
            <w:fldChar w:fldCharType="separate"/>
          </w:r>
          <w:hyperlink w:history="1" w:anchor="_Toc55375556">
            <w:r w:rsidRPr="003974F2">
              <w:rPr>
                <w:rStyle w:val="Hyperlink"/>
                <w:rFonts w:ascii="Times New Roman" w:hAnsi="Times New Roman" w:cs="Times New Roman"/>
                <w:noProof/>
              </w:rPr>
              <w:t>I.</w:t>
            </w:r>
            <w:r>
              <w:rPr>
                <w:rFonts w:asciiTheme="minorHAnsi" w:hAnsiTheme="minorHAnsi" w:eastAsiaTheme="minorEastAsia" w:cstheme="minorBidi"/>
                <w:noProof/>
              </w:rPr>
              <w:tab/>
            </w:r>
            <w:r w:rsidRPr="003974F2">
              <w:rPr>
                <w:rStyle w:val="Hyperlink"/>
                <w:b/>
                <w:noProof/>
              </w:rPr>
              <w:t>Introduction</w:t>
            </w:r>
            <w:r>
              <w:rPr>
                <w:noProof/>
                <w:webHidden/>
              </w:rPr>
              <w:tab/>
            </w:r>
            <w:r>
              <w:rPr>
                <w:noProof/>
                <w:webHidden/>
              </w:rPr>
              <w:fldChar w:fldCharType="begin"/>
            </w:r>
            <w:r>
              <w:rPr>
                <w:noProof/>
                <w:webHidden/>
              </w:rPr>
              <w:instrText xml:space="preserve"> PAGEREF _Toc55375556 \h </w:instrText>
            </w:r>
            <w:r>
              <w:rPr>
                <w:noProof/>
                <w:webHidden/>
              </w:rPr>
            </w:r>
            <w:r>
              <w:rPr>
                <w:noProof/>
                <w:webHidden/>
              </w:rPr>
              <w:fldChar w:fldCharType="separate"/>
            </w:r>
            <w:r w:rsidR="00194F69">
              <w:rPr>
                <w:noProof/>
                <w:webHidden/>
              </w:rPr>
              <w:t>3</w:t>
            </w:r>
            <w:r>
              <w:rPr>
                <w:noProof/>
                <w:webHidden/>
              </w:rPr>
              <w:fldChar w:fldCharType="end"/>
            </w:r>
          </w:hyperlink>
        </w:p>
        <w:p w:rsidR="00F51F5C" w:rsidRDefault="00F921FF" w14:paraId="05457010" w14:textId="77777777">
          <w:pPr>
            <w:pStyle w:val="TOC1"/>
            <w:tabs>
              <w:tab w:val="left" w:pos="440"/>
              <w:tab w:val="right" w:leader="dot" w:pos="9350"/>
            </w:tabs>
            <w:rPr>
              <w:rFonts w:asciiTheme="minorHAnsi" w:hAnsiTheme="minorHAnsi" w:eastAsiaTheme="minorEastAsia" w:cstheme="minorBidi"/>
              <w:noProof/>
            </w:rPr>
          </w:pPr>
          <w:hyperlink w:history="1" w:anchor="_Toc55375557">
            <w:r w:rsidRPr="003974F2" w:rsidR="00F51F5C">
              <w:rPr>
                <w:rStyle w:val="Hyperlink"/>
                <w:rFonts w:ascii="Times New Roman" w:hAnsi="Times New Roman" w:cs="Times New Roman"/>
                <w:noProof/>
              </w:rPr>
              <w:t>II.</w:t>
            </w:r>
            <w:r w:rsidR="00F51F5C">
              <w:rPr>
                <w:rFonts w:asciiTheme="minorHAnsi" w:hAnsiTheme="minorHAnsi" w:eastAsiaTheme="minorEastAsia" w:cstheme="minorBidi"/>
                <w:noProof/>
              </w:rPr>
              <w:tab/>
            </w:r>
            <w:r w:rsidRPr="003974F2" w:rsidR="00F51F5C">
              <w:rPr>
                <w:rStyle w:val="Hyperlink"/>
                <w:b/>
                <w:noProof/>
              </w:rPr>
              <w:t>Regulatory Cooperation Case Studies</w:t>
            </w:r>
            <w:r w:rsidR="00F51F5C">
              <w:rPr>
                <w:noProof/>
                <w:webHidden/>
              </w:rPr>
              <w:tab/>
            </w:r>
            <w:r w:rsidR="00F51F5C">
              <w:rPr>
                <w:noProof/>
                <w:webHidden/>
              </w:rPr>
              <w:fldChar w:fldCharType="begin"/>
            </w:r>
            <w:r w:rsidR="00F51F5C">
              <w:rPr>
                <w:noProof/>
                <w:webHidden/>
              </w:rPr>
              <w:instrText xml:space="preserve"> PAGEREF _Toc55375557 \h </w:instrText>
            </w:r>
            <w:r w:rsidR="00F51F5C">
              <w:rPr>
                <w:noProof/>
                <w:webHidden/>
              </w:rPr>
            </w:r>
            <w:r w:rsidR="00F51F5C">
              <w:rPr>
                <w:noProof/>
                <w:webHidden/>
              </w:rPr>
              <w:fldChar w:fldCharType="separate"/>
            </w:r>
            <w:r w:rsidR="00194F69">
              <w:rPr>
                <w:noProof/>
                <w:webHidden/>
              </w:rPr>
              <w:t>3</w:t>
            </w:r>
            <w:r w:rsidR="00F51F5C">
              <w:rPr>
                <w:noProof/>
                <w:webHidden/>
              </w:rPr>
              <w:fldChar w:fldCharType="end"/>
            </w:r>
          </w:hyperlink>
        </w:p>
        <w:p w:rsidR="00F51F5C" w:rsidRDefault="00F921FF" w14:paraId="53E8D952" w14:textId="77777777">
          <w:pPr>
            <w:pStyle w:val="TOC2"/>
            <w:tabs>
              <w:tab w:val="left" w:pos="660"/>
              <w:tab w:val="right" w:leader="dot" w:pos="9350"/>
            </w:tabs>
            <w:rPr>
              <w:rFonts w:asciiTheme="minorHAnsi" w:hAnsiTheme="minorHAnsi" w:eastAsiaTheme="minorEastAsia" w:cstheme="minorBidi"/>
              <w:noProof/>
            </w:rPr>
          </w:pPr>
          <w:hyperlink w:history="1" w:anchor="_Toc55375558">
            <w:r w:rsidRPr="003974F2" w:rsidR="00F51F5C">
              <w:rPr>
                <w:rStyle w:val="Hyperlink"/>
                <w:rFonts w:ascii="Times New Roman" w:hAnsi="Times New Roman" w:cs="Times New Roman"/>
                <w:noProof/>
              </w:rPr>
              <w:t>A.</w:t>
            </w:r>
            <w:r w:rsidR="00F51F5C">
              <w:rPr>
                <w:rFonts w:asciiTheme="minorHAnsi" w:hAnsiTheme="minorHAnsi" w:eastAsiaTheme="minorEastAsia" w:cstheme="minorBidi"/>
                <w:noProof/>
              </w:rPr>
              <w:tab/>
            </w:r>
            <w:r w:rsidRPr="003974F2" w:rsidR="00F51F5C">
              <w:rPr>
                <w:rStyle w:val="Hyperlink"/>
                <w:b/>
                <w:noProof/>
              </w:rPr>
              <w:t>Bilateral Cooperation</w:t>
            </w:r>
            <w:r w:rsidR="00F51F5C">
              <w:rPr>
                <w:noProof/>
                <w:webHidden/>
              </w:rPr>
              <w:tab/>
            </w:r>
            <w:r w:rsidR="00F51F5C">
              <w:rPr>
                <w:noProof/>
                <w:webHidden/>
              </w:rPr>
              <w:fldChar w:fldCharType="begin"/>
            </w:r>
            <w:r w:rsidR="00F51F5C">
              <w:rPr>
                <w:noProof/>
                <w:webHidden/>
              </w:rPr>
              <w:instrText xml:space="preserve"> PAGEREF _Toc55375558 \h </w:instrText>
            </w:r>
            <w:r w:rsidR="00F51F5C">
              <w:rPr>
                <w:noProof/>
                <w:webHidden/>
              </w:rPr>
            </w:r>
            <w:r w:rsidR="00F51F5C">
              <w:rPr>
                <w:noProof/>
                <w:webHidden/>
              </w:rPr>
              <w:fldChar w:fldCharType="separate"/>
            </w:r>
            <w:r w:rsidR="00194F69">
              <w:rPr>
                <w:noProof/>
                <w:webHidden/>
              </w:rPr>
              <w:t>3</w:t>
            </w:r>
            <w:r w:rsidR="00F51F5C">
              <w:rPr>
                <w:noProof/>
                <w:webHidden/>
              </w:rPr>
              <w:fldChar w:fldCharType="end"/>
            </w:r>
          </w:hyperlink>
        </w:p>
        <w:p w:rsidR="00F51F5C" w:rsidRDefault="00F921FF" w14:paraId="26E611E1" w14:textId="77777777">
          <w:pPr>
            <w:pStyle w:val="TOC3"/>
            <w:tabs>
              <w:tab w:val="left" w:pos="880"/>
              <w:tab w:val="right" w:leader="dot" w:pos="9350"/>
            </w:tabs>
            <w:rPr>
              <w:noProof/>
              <w:lang w:eastAsia="en-US"/>
            </w:rPr>
          </w:pPr>
          <w:hyperlink w:history="1" w:anchor="_Toc55375559">
            <w:r w:rsidRPr="003974F2" w:rsidR="00F51F5C">
              <w:rPr>
                <w:rStyle w:val="Hyperlink"/>
                <w:rFonts w:ascii="Times New Roman" w:hAnsi="Times New Roman" w:cs="Times New Roman"/>
                <w:noProof/>
              </w:rPr>
              <w:t>1.</w:t>
            </w:r>
            <w:r w:rsidR="00F51F5C">
              <w:rPr>
                <w:noProof/>
                <w:lang w:eastAsia="en-US"/>
              </w:rPr>
              <w:tab/>
            </w:r>
            <w:r w:rsidRPr="003974F2" w:rsidR="00F51F5C">
              <w:rPr>
                <w:rStyle w:val="Hyperlink"/>
                <w:b/>
                <w:noProof/>
              </w:rPr>
              <w:t>Australia-Canada Regulatory Cooperation</w:t>
            </w:r>
            <w:r w:rsidR="00F51F5C">
              <w:rPr>
                <w:noProof/>
                <w:webHidden/>
              </w:rPr>
              <w:tab/>
            </w:r>
            <w:r w:rsidR="00F51F5C">
              <w:rPr>
                <w:noProof/>
                <w:webHidden/>
              </w:rPr>
              <w:fldChar w:fldCharType="begin"/>
            </w:r>
            <w:r w:rsidR="00F51F5C">
              <w:rPr>
                <w:noProof/>
                <w:webHidden/>
              </w:rPr>
              <w:instrText xml:space="preserve"> PAGEREF _Toc55375559 \h </w:instrText>
            </w:r>
            <w:r w:rsidR="00F51F5C">
              <w:rPr>
                <w:noProof/>
                <w:webHidden/>
              </w:rPr>
            </w:r>
            <w:r w:rsidR="00F51F5C">
              <w:rPr>
                <w:noProof/>
                <w:webHidden/>
              </w:rPr>
              <w:fldChar w:fldCharType="separate"/>
            </w:r>
            <w:r w:rsidR="00194F69">
              <w:rPr>
                <w:noProof/>
                <w:webHidden/>
              </w:rPr>
              <w:t>3</w:t>
            </w:r>
            <w:r w:rsidR="00F51F5C">
              <w:rPr>
                <w:noProof/>
                <w:webHidden/>
              </w:rPr>
              <w:fldChar w:fldCharType="end"/>
            </w:r>
          </w:hyperlink>
        </w:p>
        <w:p w:rsidR="00F51F5C" w:rsidRDefault="00F921FF" w14:paraId="6348BE93" w14:textId="77777777">
          <w:pPr>
            <w:pStyle w:val="TOC3"/>
            <w:tabs>
              <w:tab w:val="left" w:pos="880"/>
              <w:tab w:val="right" w:leader="dot" w:pos="9350"/>
            </w:tabs>
            <w:rPr>
              <w:noProof/>
              <w:lang w:eastAsia="en-US"/>
            </w:rPr>
          </w:pPr>
          <w:hyperlink w:history="1" w:anchor="_Toc55375560">
            <w:r w:rsidRPr="003974F2" w:rsidR="00F51F5C">
              <w:rPr>
                <w:rStyle w:val="Hyperlink"/>
                <w:rFonts w:ascii="Times New Roman" w:hAnsi="Times New Roman" w:cs="Times New Roman"/>
                <w:noProof/>
              </w:rPr>
              <w:t>2.</w:t>
            </w:r>
            <w:r w:rsidR="00F51F5C">
              <w:rPr>
                <w:noProof/>
                <w:lang w:eastAsia="en-US"/>
              </w:rPr>
              <w:tab/>
            </w:r>
            <w:r w:rsidRPr="003974F2" w:rsidR="00F51F5C">
              <w:rPr>
                <w:rStyle w:val="Hyperlink"/>
                <w:b/>
                <w:noProof/>
              </w:rPr>
              <w:t>U.S.-Canada Regulatory Cooperation Council (RCC)</w:t>
            </w:r>
            <w:r w:rsidR="00F51F5C">
              <w:rPr>
                <w:noProof/>
                <w:webHidden/>
              </w:rPr>
              <w:tab/>
            </w:r>
            <w:r w:rsidR="00F51F5C">
              <w:rPr>
                <w:noProof/>
                <w:webHidden/>
              </w:rPr>
              <w:fldChar w:fldCharType="begin"/>
            </w:r>
            <w:r w:rsidR="00F51F5C">
              <w:rPr>
                <w:noProof/>
                <w:webHidden/>
              </w:rPr>
              <w:instrText xml:space="preserve"> PAGEREF _Toc55375560 \h </w:instrText>
            </w:r>
            <w:r w:rsidR="00F51F5C">
              <w:rPr>
                <w:noProof/>
                <w:webHidden/>
              </w:rPr>
            </w:r>
            <w:r w:rsidR="00F51F5C">
              <w:rPr>
                <w:noProof/>
                <w:webHidden/>
              </w:rPr>
              <w:fldChar w:fldCharType="separate"/>
            </w:r>
            <w:r w:rsidR="00194F69">
              <w:rPr>
                <w:noProof/>
                <w:webHidden/>
              </w:rPr>
              <w:t>4</w:t>
            </w:r>
            <w:r w:rsidR="00F51F5C">
              <w:rPr>
                <w:noProof/>
                <w:webHidden/>
              </w:rPr>
              <w:fldChar w:fldCharType="end"/>
            </w:r>
          </w:hyperlink>
        </w:p>
        <w:p w:rsidR="00F51F5C" w:rsidRDefault="00F921FF" w14:paraId="78C4056F" w14:textId="77777777">
          <w:pPr>
            <w:pStyle w:val="TOC3"/>
            <w:tabs>
              <w:tab w:val="left" w:pos="880"/>
              <w:tab w:val="right" w:leader="dot" w:pos="9350"/>
            </w:tabs>
            <w:rPr>
              <w:noProof/>
              <w:lang w:eastAsia="en-US"/>
            </w:rPr>
          </w:pPr>
          <w:hyperlink w:history="1" w:anchor="_Toc55375561">
            <w:r w:rsidRPr="003974F2" w:rsidR="00F51F5C">
              <w:rPr>
                <w:rStyle w:val="Hyperlink"/>
                <w:rFonts w:ascii="Times New Roman" w:hAnsi="Times New Roman" w:cs="Times New Roman"/>
                <w:noProof/>
              </w:rPr>
              <w:t>3.</w:t>
            </w:r>
            <w:r w:rsidR="00F51F5C">
              <w:rPr>
                <w:noProof/>
                <w:lang w:eastAsia="en-US"/>
              </w:rPr>
              <w:tab/>
            </w:r>
            <w:r w:rsidRPr="003974F2" w:rsidR="00F51F5C">
              <w:rPr>
                <w:rStyle w:val="Hyperlink"/>
                <w:b/>
                <w:noProof/>
              </w:rPr>
              <w:t>Latin American Bilateral Regulatory Cooperation</w:t>
            </w:r>
            <w:r w:rsidR="00F51F5C">
              <w:rPr>
                <w:noProof/>
                <w:webHidden/>
              </w:rPr>
              <w:tab/>
            </w:r>
            <w:r w:rsidR="00F51F5C">
              <w:rPr>
                <w:noProof/>
                <w:webHidden/>
              </w:rPr>
              <w:fldChar w:fldCharType="begin"/>
            </w:r>
            <w:r w:rsidR="00F51F5C">
              <w:rPr>
                <w:noProof/>
                <w:webHidden/>
              </w:rPr>
              <w:instrText xml:space="preserve"> PAGEREF _Toc55375561 \h </w:instrText>
            </w:r>
            <w:r w:rsidR="00F51F5C">
              <w:rPr>
                <w:noProof/>
                <w:webHidden/>
              </w:rPr>
            </w:r>
            <w:r w:rsidR="00F51F5C">
              <w:rPr>
                <w:noProof/>
                <w:webHidden/>
              </w:rPr>
              <w:fldChar w:fldCharType="separate"/>
            </w:r>
            <w:r w:rsidR="00194F69">
              <w:rPr>
                <w:noProof/>
                <w:webHidden/>
              </w:rPr>
              <w:t>4</w:t>
            </w:r>
            <w:r w:rsidR="00F51F5C">
              <w:rPr>
                <w:noProof/>
                <w:webHidden/>
              </w:rPr>
              <w:fldChar w:fldCharType="end"/>
            </w:r>
          </w:hyperlink>
        </w:p>
        <w:p w:rsidR="00F51F5C" w:rsidRDefault="00F921FF" w14:paraId="13117314" w14:textId="77777777">
          <w:pPr>
            <w:pStyle w:val="TOC2"/>
            <w:tabs>
              <w:tab w:val="left" w:pos="660"/>
              <w:tab w:val="right" w:leader="dot" w:pos="9350"/>
            </w:tabs>
            <w:rPr>
              <w:rFonts w:asciiTheme="minorHAnsi" w:hAnsiTheme="minorHAnsi" w:eastAsiaTheme="minorEastAsia" w:cstheme="minorBidi"/>
              <w:noProof/>
            </w:rPr>
          </w:pPr>
          <w:hyperlink w:history="1" w:anchor="_Toc55375562">
            <w:r w:rsidRPr="003974F2" w:rsidR="00F51F5C">
              <w:rPr>
                <w:rStyle w:val="Hyperlink"/>
                <w:rFonts w:ascii="Times New Roman" w:hAnsi="Times New Roman" w:cs="Times New Roman"/>
                <w:noProof/>
              </w:rPr>
              <w:t>B.</w:t>
            </w:r>
            <w:r w:rsidR="00F51F5C">
              <w:rPr>
                <w:rFonts w:asciiTheme="minorHAnsi" w:hAnsiTheme="minorHAnsi" w:eastAsiaTheme="minorEastAsia" w:cstheme="minorBidi"/>
                <w:noProof/>
              </w:rPr>
              <w:tab/>
            </w:r>
            <w:r w:rsidRPr="003974F2" w:rsidR="00F51F5C">
              <w:rPr>
                <w:rStyle w:val="Hyperlink"/>
                <w:b/>
                <w:noProof/>
              </w:rPr>
              <w:t>Regional Cooperation</w:t>
            </w:r>
            <w:r w:rsidR="00F51F5C">
              <w:rPr>
                <w:noProof/>
                <w:webHidden/>
              </w:rPr>
              <w:tab/>
            </w:r>
            <w:r w:rsidR="00F51F5C">
              <w:rPr>
                <w:noProof/>
                <w:webHidden/>
              </w:rPr>
              <w:fldChar w:fldCharType="begin"/>
            </w:r>
            <w:r w:rsidR="00F51F5C">
              <w:rPr>
                <w:noProof/>
                <w:webHidden/>
              </w:rPr>
              <w:instrText xml:space="preserve"> PAGEREF _Toc55375562 \h </w:instrText>
            </w:r>
            <w:r w:rsidR="00F51F5C">
              <w:rPr>
                <w:noProof/>
                <w:webHidden/>
              </w:rPr>
            </w:r>
            <w:r w:rsidR="00F51F5C">
              <w:rPr>
                <w:noProof/>
                <w:webHidden/>
              </w:rPr>
              <w:fldChar w:fldCharType="separate"/>
            </w:r>
            <w:r w:rsidR="00194F69">
              <w:rPr>
                <w:noProof/>
                <w:webHidden/>
              </w:rPr>
              <w:t>5</w:t>
            </w:r>
            <w:r w:rsidR="00F51F5C">
              <w:rPr>
                <w:noProof/>
                <w:webHidden/>
              </w:rPr>
              <w:fldChar w:fldCharType="end"/>
            </w:r>
          </w:hyperlink>
        </w:p>
        <w:p w:rsidR="00F51F5C" w:rsidRDefault="00F921FF" w14:paraId="1F789491" w14:textId="77777777">
          <w:pPr>
            <w:pStyle w:val="TOC3"/>
            <w:tabs>
              <w:tab w:val="left" w:pos="880"/>
              <w:tab w:val="right" w:leader="dot" w:pos="9350"/>
            </w:tabs>
            <w:rPr>
              <w:noProof/>
              <w:lang w:eastAsia="en-US"/>
            </w:rPr>
          </w:pPr>
          <w:hyperlink w:history="1" w:anchor="_Toc55375563">
            <w:r w:rsidRPr="003974F2" w:rsidR="00F51F5C">
              <w:rPr>
                <w:rStyle w:val="Hyperlink"/>
                <w:rFonts w:ascii="Times New Roman" w:hAnsi="Times New Roman" w:cs="Times New Roman"/>
                <w:noProof/>
              </w:rPr>
              <w:t>1.</w:t>
            </w:r>
            <w:r w:rsidR="00F51F5C">
              <w:rPr>
                <w:noProof/>
                <w:lang w:eastAsia="en-US"/>
              </w:rPr>
              <w:tab/>
            </w:r>
            <w:r w:rsidRPr="003974F2" w:rsidR="00F51F5C">
              <w:rPr>
                <w:rStyle w:val="Hyperlink"/>
                <w:b/>
                <w:noProof/>
              </w:rPr>
              <w:t>United States-Mexico-Canada Agreement: Provisions on regulatory cooperation for chemical substances</w:t>
            </w:r>
            <w:r w:rsidR="00F51F5C">
              <w:rPr>
                <w:noProof/>
                <w:webHidden/>
              </w:rPr>
              <w:tab/>
            </w:r>
            <w:r w:rsidR="00F51F5C">
              <w:rPr>
                <w:noProof/>
                <w:webHidden/>
              </w:rPr>
              <w:fldChar w:fldCharType="begin"/>
            </w:r>
            <w:r w:rsidR="00F51F5C">
              <w:rPr>
                <w:noProof/>
                <w:webHidden/>
              </w:rPr>
              <w:instrText xml:space="preserve"> PAGEREF _Toc55375563 \h </w:instrText>
            </w:r>
            <w:r w:rsidR="00F51F5C">
              <w:rPr>
                <w:noProof/>
                <w:webHidden/>
              </w:rPr>
            </w:r>
            <w:r w:rsidR="00F51F5C">
              <w:rPr>
                <w:noProof/>
                <w:webHidden/>
              </w:rPr>
              <w:fldChar w:fldCharType="separate"/>
            </w:r>
            <w:r w:rsidR="00194F69">
              <w:rPr>
                <w:noProof/>
                <w:webHidden/>
              </w:rPr>
              <w:t>5</w:t>
            </w:r>
            <w:r w:rsidR="00F51F5C">
              <w:rPr>
                <w:noProof/>
                <w:webHidden/>
              </w:rPr>
              <w:fldChar w:fldCharType="end"/>
            </w:r>
          </w:hyperlink>
        </w:p>
        <w:p w:rsidR="00F51F5C" w:rsidRDefault="00F921FF" w14:paraId="6FE85165" w14:textId="77777777">
          <w:pPr>
            <w:pStyle w:val="TOC3"/>
            <w:tabs>
              <w:tab w:val="left" w:pos="880"/>
              <w:tab w:val="right" w:leader="dot" w:pos="9350"/>
            </w:tabs>
            <w:rPr>
              <w:noProof/>
              <w:lang w:eastAsia="en-US"/>
            </w:rPr>
          </w:pPr>
          <w:hyperlink w:history="1" w:anchor="_Toc55375564">
            <w:r w:rsidRPr="003974F2" w:rsidR="00F51F5C">
              <w:rPr>
                <w:rStyle w:val="Hyperlink"/>
                <w:rFonts w:ascii="Times New Roman" w:hAnsi="Times New Roman" w:cs="Times New Roman"/>
                <w:noProof/>
              </w:rPr>
              <w:t>2.</w:t>
            </w:r>
            <w:r w:rsidR="00F51F5C">
              <w:rPr>
                <w:noProof/>
                <w:lang w:eastAsia="en-US"/>
              </w:rPr>
              <w:tab/>
            </w:r>
            <w:r w:rsidRPr="003974F2" w:rsidR="00F51F5C">
              <w:rPr>
                <w:rStyle w:val="Hyperlink"/>
                <w:b/>
                <w:noProof/>
              </w:rPr>
              <w:t>ASEAN - Japan Chemical Safety Database</w:t>
            </w:r>
            <w:r w:rsidR="00F51F5C">
              <w:rPr>
                <w:noProof/>
                <w:webHidden/>
              </w:rPr>
              <w:tab/>
            </w:r>
            <w:r w:rsidR="00F51F5C">
              <w:rPr>
                <w:noProof/>
                <w:webHidden/>
              </w:rPr>
              <w:fldChar w:fldCharType="begin"/>
            </w:r>
            <w:r w:rsidR="00F51F5C">
              <w:rPr>
                <w:noProof/>
                <w:webHidden/>
              </w:rPr>
              <w:instrText xml:space="preserve"> PAGEREF _Toc55375564 \h </w:instrText>
            </w:r>
            <w:r w:rsidR="00F51F5C">
              <w:rPr>
                <w:noProof/>
                <w:webHidden/>
              </w:rPr>
            </w:r>
            <w:r w:rsidR="00F51F5C">
              <w:rPr>
                <w:noProof/>
                <w:webHidden/>
              </w:rPr>
              <w:fldChar w:fldCharType="separate"/>
            </w:r>
            <w:r w:rsidR="00194F69">
              <w:rPr>
                <w:noProof/>
                <w:webHidden/>
              </w:rPr>
              <w:t>6</w:t>
            </w:r>
            <w:r w:rsidR="00F51F5C">
              <w:rPr>
                <w:noProof/>
                <w:webHidden/>
              </w:rPr>
              <w:fldChar w:fldCharType="end"/>
            </w:r>
          </w:hyperlink>
        </w:p>
        <w:p w:rsidR="00F51F5C" w:rsidRDefault="00F921FF" w14:paraId="3E877DE9" w14:textId="77777777">
          <w:pPr>
            <w:pStyle w:val="TOC3"/>
            <w:tabs>
              <w:tab w:val="left" w:pos="880"/>
              <w:tab w:val="right" w:leader="dot" w:pos="9350"/>
            </w:tabs>
            <w:rPr>
              <w:noProof/>
              <w:lang w:eastAsia="en-US"/>
            </w:rPr>
          </w:pPr>
          <w:hyperlink w:history="1" w:anchor="_Toc55375565">
            <w:r w:rsidRPr="003974F2" w:rsidR="00F51F5C">
              <w:rPr>
                <w:rStyle w:val="Hyperlink"/>
                <w:rFonts w:ascii="Times New Roman" w:hAnsi="Times New Roman" w:cs="Times New Roman"/>
                <w:noProof/>
              </w:rPr>
              <w:t>3.</w:t>
            </w:r>
            <w:r w:rsidR="00F51F5C">
              <w:rPr>
                <w:noProof/>
                <w:lang w:eastAsia="en-US"/>
              </w:rPr>
              <w:tab/>
            </w:r>
            <w:r w:rsidRPr="003974F2" w:rsidR="00F51F5C">
              <w:rPr>
                <w:rStyle w:val="Hyperlink"/>
                <w:b/>
                <w:noProof/>
              </w:rPr>
              <w:t>Pacific Alliance - Regulatory Cooperation Annexes</w:t>
            </w:r>
            <w:r w:rsidR="00F51F5C">
              <w:rPr>
                <w:noProof/>
                <w:webHidden/>
              </w:rPr>
              <w:tab/>
            </w:r>
            <w:r w:rsidR="00F51F5C">
              <w:rPr>
                <w:noProof/>
                <w:webHidden/>
              </w:rPr>
              <w:fldChar w:fldCharType="begin"/>
            </w:r>
            <w:r w:rsidR="00F51F5C">
              <w:rPr>
                <w:noProof/>
                <w:webHidden/>
              </w:rPr>
              <w:instrText xml:space="preserve"> PAGEREF _Toc55375565 \h </w:instrText>
            </w:r>
            <w:r w:rsidR="00F51F5C">
              <w:rPr>
                <w:noProof/>
                <w:webHidden/>
              </w:rPr>
            </w:r>
            <w:r w:rsidR="00F51F5C">
              <w:rPr>
                <w:noProof/>
                <w:webHidden/>
              </w:rPr>
              <w:fldChar w:fldCharType="separate"/>
            </w:r>
            <w:r w:rsidR="00194F69">
              <w:rPr>
                <w:noProof/>
                <w:webHidden/>
              </w:rPr>
              <w:t>6</w:t>
            </w:r>
            <w:r w:rsidR="00F51F5C">
              <w:rPr>
                <w:noProof/>
                <w:webHidden/>
              </w:rPr>
              <w:fldChar w:fldCharType="end"/>
            </w:r>
          </w:hyperlink>
        </w:p>
        <w:p w:rsidR="00F51F5C" w:rsidRDefault="00F921FF" w14:paraId="6EF634F9" w14:textId="77777777">
          <w:pPr>
            <w:pStyle w:val="TOC3"/>
            <w:tabs>
              <w:tab w:val="left" w:pos="880"/>
              <w:tab w:val="right" w:leader="dot" w:pos="9350"/>
            </w:tabs>
            <w:rPr>
              <w:noProof/>
              <w:lang w:eastAsia="en-US"/>
            </w:rPr>
          </w:pPr>
          <w:hyperlink w:history="1" w:anchor="_Toc55375566">
            <w:r w:rsidRPr="003974F2" w:rsidR="00F51F5C">
              <w:rPr>
                <w:rStyle w:val="Hyperlink"/>
                <w:rFonts w:ascii="Times New Roman" w:hAnsi="Times New Roman" w:cs="Times New Roman"/>
                <w:iCs/>
                <w:noProof/>
              </w:rPr>
              <w:t>4.</w:t>
            </w:r>
            <w:r w:rsidR="00F51F5C">
              <w:rPr>
                <w:noProof/>
                <w:lang w:eastAsia="en-US"/>
              </w:rPr>
              <w:tab/>
            </w:r>
            <w:r w:rsidRPr="003974F2" w:rsidR="00F51F5C">
              <w:rPr>
                <w:rStyle w:val="Hyperlink"/>
                <w:b/>
                <w:noProof/>
              </w:rPr>
              <w:t>Chinese Taipei Institutional Cooperation with Japan and Korea</w:t>
            </w:r>
            <w:r w:rsidR="00F51F5C">
              <w:rPr>
                <w:noProof/>
                <w:webHidden/>
              </w:rPr>
              <w:tab/>
            </w:r>
            <w:r w:rsidR="00F51F5C">
              <w:rPr>
                <w:noProof/>
                <w:webHidden/>
              </w:rPr>
              <w:fldChar w:fldCharType="begin"/>
            </w:r>
            <w:r w:rsidR="00F51F5C">
              <w:rPr>
                <w:noProof/>
                <w:webHidden/>
              </w:rPr>
              <w:instrText xml:space="preserve"> PAGEREF _Toc55375566 \h </w:instrText>
            </w:r>
            <w:r w:rsidR="00F51F5C">
              <w:rPr>
                <w:noProof/>
                <w:webHidden/>
              </w:rPr>
            </w:r>
            <w:r w:rsidR="00F51F5C">
              <w:rPr>
                <w:noProof/>
                <w:webHidden/>
              </w:rPr>
              <w:fldChar w:fldCharType="separate"/>
            </w:r>
            <w:r w:rsidR="00194F69">
              <w:rPr>
                <w:noProof/>
                <w:webHidden/>
              </w:rPr>
              <w:t>7</w:t>
            </w:r>
            <w:r w:rsidR="00F51F5C">
              <w:rPr>
                <w:noProof/>
                <w:webHidden/>
              </w:rPr>
              <w:fldChar w:fldCharType="end"/>
            </w:r>
          </w:hyperlink>
        </w:p>
        <w:p w:rsidR="00F51F5C" w:rsidRDefault="00F921FF" w14:paraId="765B32C8" w14:textId="77777777">
          <w:pPr>
            <w:pStyle w:val="TOC3"/>
            <w:tabs>
              <w:tab w:val="left" w:pos="880"/>
              <w:tab w:val="right" w:leader="dot" w:pos="9350"/>
            </w:tabs>
            <w:rPr>
              <w:noProof/>
              <w:lang w:eastAsia="en-US"/>
            </w:rPr>
          </w:pPr>
          <w:hyperlink w:history="1" w:anchor="_Toc55375567">
            <w:r w:rsidRPr="003974F2" w:rsidR="00F51F5C">
              <w:rPr>
                <w:rStyle w:val="Hyperlink"/>
                <w:rFonts w:ascii="Times New Roman" w:hAnsi="Times New Roman" w:cs="Times New Roman"/>
                <w:noProof/>
              </w:rPr>
              <w:t>5.</w:t>
            </w:r>
            <w:r w:rsidR="00F51F5C">
              <w:rPr>
                <w:noProof/>
                <w:lang w:eastAsia="en-US"/>
              </w:rPr>
              <w:tab/>
            </w:r>
            <w:r w:rsidRPr="003974F2" w:rsidR="00F51F5C">
              <w:rPr>
                <w:rStyle w:val="Hyperlink"/>
                <w:b/>
                <w:noProof/>
              </w:rPr>
              <w:t>ASEAN Regulatory Cooperation Project (ARCP)</w:t>
            </w:r>
            <w:r w:rsidR="00F51F5C">
              <w:rPr>
                <w:noProof/>
                <w:webHidden/>
              </w:rPr>
              <w:tab/>
            </w:r>
            <w:r w:rsidR="00F51F5C">
              <w:rPr>
                <w:noProof/>
                <w:webHidden/>
              </w:rPr>
              <w:fldChar w:fldCharType="begin"/>
            </w:r>
            <w:r w:rsidR="00F51F5C">
              <w:rPr>
                <w:noProof/>
                <w:webHidden/>
              </w:rPr>
              <w:instrText xml:space="preserve"> PAGEREF _Toc55375567 \h </w:instrText>
            </w:r>
            <w:r w:rsidR="00F51F5C">
              <w:rPr>
                <w:noProof/>
                <w:webHidden/>
              </w:rPr>
            </w:r>
            <w:r w:rsidR="00F51F5C">
              <w:rPr>
                <w:noProof/>
                <w:webHidden/>
              </w:rPr>
              <w:fldChar w:fldCharType="separate"/>
            </w:r>
            <w:r w:rsidR="00194F69">
              <w:rPr>
                <w:noProof/>
                <w:webHidden/>
              </w:rPr>
              <w:t>7</w:t>
            </w:r>
            <w:r w:rsidR="00F51F5C">
              <w:rPr>
                <w:noProof/>
                <w:webHidden/>
              </w:rPr>
              <w:fldChar w:fldCharType="end"/>
            </w:r>
          </w:hyperlink>
        </w:p>
        <w:p w:rsidR="00F51F5C" w:rsidRDefault="00F921FF" w14:paraId="23B82C74" w14:textId="77777777">
          <w:pPr>
            <w:pStyle w:val="TOC3"/>
            <w:tabs>
              <w:tab w:val="left" w:pos="880"/>
              <w:tab w:val="right" w:leader="dot" w:pos="9350"/>
            </w:tabs>
            <w:rPr>
              <w:noProof/>
              <w:lang w:eastAsia="en-US"/>
            </w:rPr>
          </w:pPr>
          <w:hyperlink w:history="1" w:anchor="_Toc55375568">
            <w:r w:rsidRPr="003974F2" w:rsidR="00F51F5C">
              <w:rPr>
                <w:rStyle w:val="Hyperlink"/>
                <w:rFonts w:ascii="Times New Roman" w:hAnsi="Times New Roman" w:cs="Times New Roman"/>
                <w:noProof/>
              </w:rPr>
              <w:t>6.</w:t>
            </w:r>
            <w:r w:rsidR="00F51F5C">
              <w:rPr>
                <w:noProof/>
                <w:lang w:eastAsia="en-US"/>
              </w:rPr>
              <w:tab/>
            </w:r>
            <w:r w:rsidRPr="003974F2" w:rsidR="00F51F5C">
              <w:rPr>
                <w:rStyle w:val="Hyperlink"/>
                <w:b/>
                <w:noProof/>
              </w:rPr>
              <w:t>Latin America Regulatory Cooperation Forum (LARCF)</w:t>
            </w:r>
            <w:r w:rsidR="00F51F5C">
              <w:rPr>
                <w:noProof/>
                <w:webHidden/>
              </w:rPr>
              <w:tab/>
            </w:r>
            <w:r w:rsidR="00F51F5C">
              <w:rPr>
                <w:noProof/>
                <w:webHidden/>
              </w:rPr>
              <w:fldChar w:fldCharType="begin"/>
            </w:r>
            <w:r w:rsidR="00F51F5C">
              <w:rPr>
                <w:noProof/>
                <w:webHidden/>
              </w:rPr>
              <w:instrText xml:space="preserve"> PAGEREF _Toc55375568 \h </w:instrText>
            </w:r>
            <w:r w:rsidR="00F51F5C">
              <w:rPr>
                <w:noProof/>
                <w:webHidden/>
              </w:rPr>
            </w:r>
            <w:r w:rsidR="00F51F5C">
              <w:rPr>
                <w:noProof/>
                <w:webHidden/>
              </w:rPr>
              <w:fldChar w:fldCharType="separate"/>
            </w:r>
            <w:r w:rsidR="00194F69">
              <w:rPr>
                <w:noProof/>
                <w:webHidden/>
              </w:rPr>
              <w:t>8</w:t>
            </w:r>
            <w:r w:rsidR="00F51F5C">
              <w:rPr>
                <w:noProof/>
                <w:webHidden/>
              </w:rPr>
              <w:fldChar w:fldCharType="end"/>
            </w:r>
          </w:hyperlink>
        </w:p>
        <w:p w:rsidR="00F51F5C" w:rsidRDefault="00F921FF" w14:paraId="6B8E131D" w14:textId="77777777">
          <w:pPr>
            <w:pStyle w:val="TOC2"/>
            <w:tabs>
              <w:tab w:val="left" w:pos="660"/>
              <w:tab w:val="right" w:leader="dot" w:pos="9350"/>
            </w:tabs>
            <w:rPr>
              <w:rFonts w:asciiTheme="minorHAnsi" w:hAnsiTheme="minorHAnsi" w:eastAsiaTheme="minorEastAsia" w:cstheme="minorBidi"/>
              <w:noProof/>
            </w:rPr>
          </w:pPr>
          <w:hyperlink w:history="1" w:anchor="_Toc55375569">
            <w:r w:rsidRPr="003974F2" w:rsidR="00F51F5C">
              <w:rPr>
                <w:rStyle w:val="Hyperlink"/>
                <w:rFonts w:ascii="Times New Roman" w:hAnsi="Times New Roman" w:cs="Times New Roman"/>
                <w:noProof/>
              </w:rPr>
              <w:t>C.</w:t>
            </w:r>
            <w:r w:rsidR="00F51F5C">
              <w:rPr>
                <w:rFonts w:asciiTheme="minorHAnsi" w:hAnsiTheme="minorHAnsi" w:eastAsiaTheme="minorEastAsia" w:cstheme="minorBidi"/>
                <w:noProof/>
              </w:rPr>
              <w:tab/>
            </w:r>
            <w:r w:rsidRPr="003974F2" w:rsidR="00F51F5C">
              <w:rPr>
                <w:rStyle w:val="Hyperlink"/>
                <w:b/>
                <w:noProof/>
              </w:rPr>
              <w:t>Multilateral Cooperation</w:t>
            </w:r>
            <w:r w:rsidR="00F51F5C">
              <w:rPr>
                <w:noProof/>
                <w:webHidden/>
              </w:rPr>
              <w:tab/>
            </w:r>
            <w:r w:rsidR="00F51F5C">
              <w:rPr>
                <w:noProof/>
                <w:webHidden/>
              </w:rPr>
              <w:fldChar w:fldCharType="begin"/>
            </w:r>
            <w:r w:rsidR="00F51F5C">
              <w:rPr>
                <w:noProof/>
                <w:webHidden/>
              </w:rPr>
              <w:instrText xml:space="preserve"> PAGEREF _Toc55375569 \h </w:instrText>
            </w:r>
            <w:r w:rsidR="00F51F5C">
              <w:rPr>
                <w:noProof/>
                <w:webHidden/>
              </w:rPr>
            </w:r>
            <w:r w:rsidR="00F51F5C">
              <w:rPr>
                <w:noProof/>
                <w:webHidden/>
              </w:rPr>
              <w:fldChar w:fldCharType="separate"/>
            </w:r>
            <w:r w:rsidR="00194F69">
              <w:rPr>
                <w:noProof/>
                <w:webHidden/>
              </w:rPr>
              <w:t>9</w:t>
            </w:r>
            <w:r w:rsidR="00F51F5C">
              <w:rPr>
                <w:noProof/>
                <w:webHidden/>
              </w:rPr>
              <w:fldChar w:fldCharType="end"/>
            </w:r>
          </w:hyperlink>
        </w:p>
        <w:p w:rsidR="00F51F5C" w:rsidRDefault="00F921FF" w14:paraId="4480297C" w14:textId="77777777">
          <w:pPr>
            <w:pStyle w:val="TOC3"/>
            <w:tabs>
              <w:tab w:val="left" w:pos="880"/>
              <w:tab w:val="right" w:leader="dot" w:pos="9350"/>
            </w:tabs>
            <w:rPr>
              <w:noProof/>
              <w:lang w:eastAsia="en-US"/>
            </w:rPr>
          </w:pPr>
          <w:hyperlink w:history="1" w:anchor="_Toc55375570">
            <w:r w:rsidRPr="003974F2" w:rsidR="00F51F5C">
              <w:rPr>
                <w:rStyle w:val="Hyperlink"/>
                <w:rFonts w:ascii="Times New Roman" w:hAnsi="Times New Roman" w:cs="Times New Roman"/>
                <w:noProof/>
              </w:rPr>
              <w:t>1.</w:t>
            </w:r>
            <w:r w:rsidR="00F51F5C">
              <w:rPr>
                <w:noProof/>
                <w:lang w:eastAsia="en-US"/>
              </w:rPr>
              <w:tab/>
            </w:r>
            <w:r w:rsidRPr="003974F2" w:rsidR="00F51F5C">
              <w:rPr>
                <w:rStyle w:val="Hyperlink"/>
                <w:b/>
                <w:noProof/>
              </w:rPr>
              <w:t>OECD Mutual Acceptance of Data</w:t>
            </w:r>
            <w:r w:rsidR="00F51F5C">
              <w:rPr>
                <w:noProof/>
                <w:webHidden/>
              </w:rPr>
              <w:tab/>
            </w:r>
            <w:r w:rsidR="00F51F5C">
              <w:rPr>
                <w:noProof/>
                <w:webHidden/>
              </w:rPr>
              <w:fldChar w:fldCharType="begin"/>
            </w:r>
            <w:r w:rsidR="00F51F5C">
              <w:rPr>
                <w:noProof/>
                <w:webHidden/>
              </w:rPr>
              <w:instrText xml:space="preserve"> PAGEREF _Toc55375570 \h </w:instrText>
            </w:r>
            <w:r w:rsidR="00F51F5C">
              <w:rPr>
                <w:noProof/>
                <w:webHidden/>
              </w:rPr>
            </w:r>
            <w:r w:rsidR="00F51F5C">
              <w:rPr>
                <w:noProof/>
                <w:webHidden/>
              </w:rPr>
              <w:fldChar w:fldCharType="separate"/>
            </w:r>
            <w:r w:rsidR="00194F69">
              <w:rPr>
                <w:noProof/>
                <w:webHidden/>
              </w:rPr>
              <w:t>9</w:t>
            </w:r>
            <w:r w:rsidR="00F51F5C">
              <w:rPr>
                <w:noProof/>
                <w:webHidden/>
              </w:rPr>
              <w:fldChar w:fldCharType="end"/>
            </w:r>
          </w:hyperlink>
        </w:p>
        <w:p w:rsidR="00F51F5C" w:rsidRDefault="00F921FF" w14:paraId="03C44DE5" w14:textId="77777777">
          <w:pPr>
            <w:pStyle w:val="TOC2"/>
            <w:tabs>
              <w:tab w:val="left" w:pos="660"/>
              <w:tab w:val="right" w:leader="dot" w:pos="9350"/>
            </w:tabs>
            <w:rPr>
              <w:rFonts w:asciiTheme="minorHAnsi" w:hAnsiTheme="minorHAnsi" w:eastAsiaTheme="minorEastAsia" w:cstheme="minorBidi"/>
              <w:noProof/>
            </w:rPr>
          </w:pPr>
          <w:hyperlink w:history="1" w:anchor="_Toc55375571">
            <w:r w:rsidRPr="003974F2" w:rsidR="00F51F5C">
              <w:rPr>
                <w:rStyle w:val="Hyperlink"/>
                <w:rFonts w:ascii="Times New Roman" w:hAnsi="Times New Roman" w:cs="Times New Roman"/>
                <w:noProof/>
              </w:rPr>
              <w:t>D.</w:t>
            </w:r>
            <w:r w:rsidR="00F51F5C">
              <w:rPr>
                <w:rFonts w:asciiTheme="minorHAnsi" w:hAnsiTheme="minorHAnsi" w:eastAsiaTheme="minorEastAsia" w:cstheme="minorBidi"/>
                <w:noProof/>
              </w:rPr>
              <w:tab/>
            </w:r>
            <w:r w:rsidRPr="003974F2" w:rsidR="00F51F5C">
              <w:rPr>
                <w:rStyle w:val="Hyperlink"/>
                <w:b/>
                <w:noProof/>
              </w:rPr>
              <w:t>Global Cooperation</w:t>
            </w:r>
            <w:r w:rsidR="00F51F5C">
              <w:rPr>
                <w:noProof/>
                <w:webHidden/>
              </w:rPr>
              <w:tab/>
            </w:r>
            <w:r w:rsidR="00F51F5C">
              <w:rPr>
                <w:noProof/>
                <w:webHidden/>
              </w:rPr>
              <w:fldChar w:fldCharType="begin"/>
            </w:r>
            <w:r w:rsidR="00F51F5C">
              <w:rPr>
                <w:noProof/>
                <w:webHidden/>
              </w:rPr>
              <w:instrText xml:space="preserve"> PAGEREF _Toc55375571 \h </w:instrText>
            </w:r>
            <w:r w:rsidR="00F51F5C">
              <w:rPr>
                <w:noProof/>
                <w:webHidden/>
              </w:rPr>
            </w:r>
            <w:r w:rsidR="00F51F5C">
              <w:rPr>
                <w:noProof/>
                <w:webHidden/>
              </w:rPr>
              <w:fldChar w:fldCharType="separate"/>
            </w:r>
            <w:r w:rsidR="00194F69">
              <w:rPr>
                <w:noProof/>
                <w:webHidden/>
              </w:rPr>
              <w:t>10</w:t>
            </w:r>
            <w:r w:rsidR="00F51F5C">
              <w:rPr>
                <w:noProof/>
                <w:webHidden/>
              </w:rPr>
              <w:fldChar w:fldCharType="end"/>
            </w:r>
          </w:hyperlink>
        </w:p>
        <w:p w:rsidR="00F51F5C" w:rsidRDefault="00F921FF" w14:paraId="1CED077C" w14:textId="77777777">
          <w:pPr>
            <w:pStyle w:val="TOC3"/>
            <w:tabs>
              <w:tab w:val="left" w:pos="880"/>
              <w:tab w:val="right" w:leader="dot" w:pos="9350"/>
            </w:tabs>
            <w:rPr>
              <w:noProof/>
              <w:lang w:eastAsia="en-US"/>
            </w:rPr>
          </w:pPr>
          <w:hyperlink w:history="1" w:anchor="_Toc55375572">
            <w:r w:rsidRPr="003974F2" w:rsidR="00F51F5C">
              <w:rPr>
                <w:rStyle w:val="Hyperlink"/>
                <w:rFonts w:ascii="Times New Roman" w:hAnsi="Times New Roman" w:cs="Times New Roman"/>
                <w:noProof/>
              </w:rPr>
              <w:t>1.</w:t>
            </w:r>
            <w:r w:rsidR="00F51F5C">
              <w:rPr>
                <w:noProof/>
                <w:lang w:eastAsia="en-US"/>
              </w:rPr>
              <w:tab/>
            </w:r>
            <w:r w:rsidRPr="003974F2" w:rsidR="00F51F5C">
              <w:rPr>
                <w:rStyle w:val="Hyperlink"/>
                <w:b/>
                <w:noProof/>
              </w:rPr>
              <w:t>Strategic Approach to International Chemicals Management (SAICM)</w:t>
            </w:r>
            <w:r w:rsidR="00F51F5C">
              <w:rPr>
                <w:noProof/>
                <w:webHidden/>
              </w:rPr>
              <w:tab/>
            </w:r>
            <w:r w:rsidR="00F51F5C">
              <w:rPr>
                <w:noProof/>
                <w:webHidden/>
              </w:rPr>
              <w:fldChar w:fldCharType="begin"/>
            </w:r>
            <w:r w:rsidR="00F51F5C">
              <w:rPr>
                <w:noProof/>
                <w:webHidden/>
              </w:rPr>
              <w:instrText xml:space="preserve"> PAGEREF _Toc55375572 \h </w:instrText>
            </w:r>
            <w:r w:rsidR="00F51F5C">
              <w:rPr>
                <w:noProof/>
                <w:webHidden/>
              </w:rPr>
            </w:r>
            <w:r w:rsidR="00F51F5C">
              <w:rPr>
                <w:noProof/>
                <w:webHidden/>
              </w:rPr>
              <w:fldChar w:fldCharType="separate"/>
            </w:r>
            <w:r w:rsidR="00194F69">
              <w:rPr>
                <w:noProof/>
                <w:webHidden/>
              </w:rPr>
              <w:t>10</w:t>
            </w:r>
            <w:r w:rsidR="00F51F5C">
              <w:rPr>
                <w:noProof/>
                <w:webHidden/>
              </w:rPr>
              <w:fldChar w:fldCharType="end"/>
            </w:r>
          </w:hyperlink>
        </w:p>
        <w:p w:rsidR="00F51F5C" w:rsidRDefault="00F51F5C" w14:paraId="546530EF" w14:textId="4C44E9DA">
          <w:r>
            <w:rPr>
              <w:b/>
              <w:bCs/>
              <w:noProof/>
            </w:rPr>
            <w:fldChar w:fldCharType="end"/>
          </w:r>
        </w:p>
      </w:sdtContent>
    </w:sdt>
    <w:p w:rsidRPr="00F51F5C" w:rsidR="00F51F5C" w:rsidP="00EE2EEA" w:rsidRDefault="00F51F5C" w14:paraId="20CC15EC" w14:textId="77777777">
      <w:pPr>
        <w:pStyle w:val="BodyText"/>
        <w:spacing w:after="0"/>
        <w:ind w:firstLine="0"/>
        <w:rPr>
          <w:b/>
          <w:bCs/>
          <w:sz w:val="32"/>
          <w:szCs w:val="32"/>
        </w:rPr>
      </w:pPr>
    </w:p>
    <w:p w:rsidR="00F51F5C" w:rsidRDefault="00F51F5C" w14:paraId="5A54E156" w14:textId="7D2E3E5B">
      <w:pPr>
        <w:spacing w:after="200" w:line="276" w:lineRule="auto"/>
        <w:rPr>
          <w:b/>
          <w:bCs/>
        </w:rPr>
      </w:pPr>
      <w:r>
        <w:rPr>
          <w:b/>
          <w:bCs/>
        </w:rPr>
        <w:br w:type="page"/>
      </w:r>
    </w:p>
    <w:p w:rsidR="00BD233D" w:rsidP="00EE2EEA" w:rsidRDefault="00BD233D" w14:paraId="721B2C7B" w14:textId="77777777">
      <w:pPr>
        <w:pStyle w:val="BodyText"/>
        <w:spacing w:after="0"/>
        <w:ind w:firstLine="0"/>
        <w:rPr>
          <w:b/>
          <w:bCs/>
        </w:rPr>
      </w:pPr>
    </w:p>
    <w:p w:rsidRPr="007F7BBC" w:rsidR="00BD233D" w:rsidP="00720325" w:rsidRDefault="00BD233D" w14:paraId="5A54E157" w14:textId="77777777">
      <w:pPr>
        <w:pStyle w:val="Heading1"/>
        <w:shd w:val="clear" w:color="auto" w:fill="A6A6A6" w:themeFill="background1" w:themeFillShade="A6"/>
        <w:rPr>
          <w:b/>
        </w:rPr>
      </w:pPr>
      <w:bookmarkStart w:name="_Toc55375556" w:id="0"/>
      <w:r w:rsidRPr="007F7BBC">
        <w:rPr>
          <w:b/>
        </w:rPr>
        <w:t>Introduction</w:t>
      </w:r>
      <w:bookmarkEnd w:id="0"/>
    </w:p>
    <w:p w:rsidR="00BD233D" w:rsidP="009F54ED" w:rsidRDefault="00BD233D" w14:paraId="5A54E158" w14:textId="77777777">
      <w:pPr>
        <w:rPr>
          <w:b/>
          <w:bCs/>
        </w:rPr>
      </w:pPr>
    </w:p>
    <w:p w:rsidR="005B65F2" w:rsidP="009F54ED" w:rsidRDefault="00527B6E" w14:paraId="5A54E159" w14:textId="77777777">
      <w:r w:rsidRPr="00527B6E">
        <w:t>The chemical industry drives global economic growth and serves as a critical component of more than 85% of manufacturing supply chains, underpinning millions of direct and indirect jobs</w:t>
      </w:r>
      <w:r>
        <w:t xml:space="preserve"> around the Asia-Pacific region</w:t>
      </w:r>
      <w:r w:rsidR="004B7C20">
        <w:t>. However, b</w:t>
      </w:r>
      <w:r w:rsidRPr="00527B6E">
        <w:t>arriers to trade in chemicals increase costs and reduce employment. It is therefore critical that governments and industry cooperate with one another on trade and regulatory policy issues</w:t>
      </w:r>
      <w:r>
        <w:t>.</w:t>
      </w:r>
    </w:p>
    <w:p w:rsidR="00091855" w:rsidP="009F54ED" w:rsidRDefault="00091855" w14:paraId="5A54E15A" w14:textId="77777777"/>
    <w:p w:rsidR="00933FED" w:rsidP="009F54ED" w:rsidRDefault="009F34D6" w14:paraId="5A54E15B" w14:textId="77777777">
      <w:r>
        <w:t>The Asia-Pacific Economic Cooperation (APEC)</w:t>
      </w:r>
      <w:r w:rsidRPr="009F34D6">
        <w:t xml:space="preserve"> Chemical Dialogue serves as a forum for government officials and industry representatives to find solutions to challenges facing the chemical industry and users of chemicals in the Asia-Pacific region.  It reflects APEC member economies' recognition of the importance of engaging with the private sector and building public-private sector dialogue and cooperation for mutual benefit.</w:t>
      </w:r>
      <w:r w:rsidR="0018333C">
        <w:t xml:space="preserve"> </w:t>
      </w:r>
      <w:r w:rsidR="004550B8">
        <w:t>The APEC Chemical Dialogue</w:t>
      </w:r>
      <w:r w:rsidRPr="00933FED" w:rsidR="00933FED">
        <w:t>'s</w:t>
      </w:r>
      <w:r w:rsidR="004550B8">
        <w:t xml:space="preserve"> (CD) </w:t>
      </w:r>
      <w:r w:rsidRPr="00933FED" w:rsidR="00933FED">
        <w:t>Regulator</w:t>
      </w:r>
      <w:r w:rsidR="00CF2D05">
        <w:t>s</w:t>
      </w:r>
      <w:r w:rsidRPr="00933FED" w:rsidR="00933FED">
        <w:t xml:space="preserve"> Forum seeks to address two fundamental challenges that can hinder the chemical industry's contributions to APEC's broader economic growth and integration, namely the need to: (1) build capacity and technical prowess among chemical sector regulatory officials in APEC economies; and (2) increase regulatory cooperation and alignment within the region</w:t>
      </w:r>
    </w:p>
    <w:p w:rsidR="005B65F2" w:rsidP="009F54ED" w:rsidRDefault="005B65F2" w14:paraId="5A54E15C" w14:textId="77777777">
      <w:pPr>
        <w:rPr>
          <w:b/>
        </w:rPr>
      </w:pPr>
    </w:p>
    <w:p w:rsidR="005B65F2" w:rsidP="009F54ED" w:rsidRDefault="00E4380A" w14:paraId="5A54E15D" w14:textId="399B7050">
      <w:r>
        <w:t>The Regulatory Cooperation Report aims to i</w:t>
      </w:r>
      <w:r w:rsidRPr="00527B6E" w:rsidR="00527B6E">
        <w:t>dentify, sh</w:t>
      </w:r>
      <w:r>
        <w:t>are, and capture</w:t>
      </w:r>
      <w:r w:rsidRPr="00527B6E" w:rsidR="00527B6E">
        <w:t xml:space="preserve"> best practices</w:t>
      </w:r>
      <w:r w:rsidR="009F34D6">
        <w:t xml:space="preserve"> and actionable approaches for APEC </w:t>
      </w:r>
      <w:r w:rsidRPr="00527B6E" w:rsidR="00527B6E">
        <w:t>chemical regulators seeking to engage in regulatory cooperation with trade partners.</w:t>
      </w:r>
      <w:r w:rsidR="004F379E">
        <w:t xml:space="preserve"> The Report provides</w:t>
      </w:r>
      <w:r w:rsidR="00091855">
        <w:t xml:space="preserve"> a</w:t>
      </w:r>
      <w:r w:rsidR="004F379E">
        <w:t xml:space="preserve"> </w:t>
      </w:r>
      <w:r w:rsidRPr="00091855" w:rsidR="00091855">
        <w:t>range of regulatory cooperation mechanisms available in the chemical sector</w:t>
      </w:r>
      <w:r w:rsidR="00091855">
        <w:t xml:space="preserve"> through </w:t>
      </w:r>
      <w:r w:rsidR="00CB3801">
        <w:t xml:space="preserve">case studies from </w:t>
      </w:r>
      <w:r w:rsidR="00091855">
        <w:t xml:space="preserve">current </w:t>
      </w:r>
      <w:r w:rsidR="00CB3801">
        <w:t xml:space="preserve">bilateral cooperation, regional cooperation, and global cooperation. </w:t>
      </w:r>
      <w:r w:rsidR="00EC2C2D">
        <w:t xml:space="preserve"> The </w:t>
      </w:r>
      <w:r w:rsidRPr="00EC2C2D" w:rsidR="00EC2C2D">
        <w:t xml:space="preserve">information </w:t>
      </w:r>
      <w:r w:rsidR="00EC2C2D">
        <w:t xml:space="preserve">included in this report </w:t>
      </w:r>
      <w:r w:rsidRPr="00EC2C2D" w:rsidR="00EC2C2D">
        <w:t xml:space="preserve">was voluntarily submitted by CD members and </w:t>
      </w:r>
      <w:r w:rsidR="00EA15B8">
        <w:t xml:space="preserve">represents a </w:t>
      </w:r>
      <w:r w:rsidRPr="00EC2C2D" w:rsidR="00EC2C2D">
        <w:t>non-exhaustive list</w:t>
      </w:r>
      <w:r w:rsidR="00EA15B8">
        <w:t xml:space="preserve"> of regulatory cooperation activities in the region.</w:t>
      </w:r>
    </w:p>
    <w:p w:rsidRPr="007F7BBC" w:rsidR="005B65F2" w:rsidP="009F54ED" w:rsidRDefault="005B65F2" w14:paraId="5A54E15E" w14:textId="018A3C50"/>
    <w:p w:rsidRPr="00720325" w:rsidR="009F3639" w:rsidP="009F54ED" w:rsidRDefault="009F54ED" w14:paraId="5A54E160" w14:textId="54AB9019">
      <w:pPr>
        <w:pStyle w:val="Heading1"/>
        <w:shd w:val="clear" w:color="auto" w:fill="A6A6A6" w:themeFill="background1" w:themeFillShade="A6"/>
        <w:rPr>
          <w:b/>
        </w:rPr>
      </w:pPr>
      <w:bookmarkStart w:name="_Toc55375557" w:id="1"/>
      <w:r w:rsidRPr="00720325">
        <w:rPr>
          <w:b/>
        </w:rPr>
        <w:t>Regulatory Cooperation Case Studies</w:t>
      </w:r>
      <w:bookmarkEnd w:id="1"/>
      <w:r w:rsidRPr="00720325">
        <w:rPr>
          <w:b/>
        </w:rPr>
        <w:t xml:space="preserve"> </w:t>
      </w:r>
    </w:p>
    <w:p w:rsidRPr="00720325" w:rsidR="007F0B11" w:rsidP="00720325" w:rsidRDefault="009F54ED" w14:paraId="5A54E162" w14:textId="2CA76CE9">
      <w:pPr>
        <w:pStyle w:val="Heading2"/>
        <w:tabs>
          <w:tab w:val="clear" w:pos="1440"/>
          <w:tab w:val="num" w:pos="360"/>
        </w:tabs>
        <w:ind w:left="0" w:firstLine="0"/>
        <w:rPr>
          <w:b/>
        </w:rPr>
      </w:pPr>
      <w:bookmarkStart w:name="_Toc55375558" w:id="2"/>
      <w:r w:rsidRPr="00720325">
        <w:rPr>
          <w:b/>
        </w:rPr>
        <w:t xml:space="preserve">Bilateral </w:t>
      </w:r>
      <w:r w:rsidRPr="00720325" w:rsidR="00B04D46">
        <w:rPr>
          <w:b/>
        </w:rPr>
        <w:t>Cooperation</w:t>
      </w:r>
      <w:bookmarkEnd w:id="2"/>
      <w:r w:rsidRPr="00720325">
        <w:rPr>
          <w:b/>
        </w:rPr>
        <w:t xml:space="preserve"> </w:t>
      </w:r>
    </w:p>
    <w:p w:rsidRPr="00720325" w:rsidR="00EC0FB3" w:rsidP="00720325" w:rsidRDefault="00BD233D" w14:paraId="26956465" w14:textId="061F5540">
      <w:pPr>
        <w:pStyle w:val="Heading3"/>
        <w:tabs>
          <w:tab w:val="num" w:pos="360"/>
        </w:tabs>
        <w:ind w:left="0" w:firstLine="0"/>
        <w:rPr>
          <w:b/>
          <w:u w:val="single"/>
        </w:rPr>
      </w:pPr>
      <w:bookmarkStart w:name="_Toc55375559" w:id="3"/>
      <w:r w:rsidRPr="00720325">
        <w:rPr>
          <w:b/>
          <w:u w:val="single"/>
        </w:rPr>
        <w:t xml:space="preserve">Australia-Canada </w:t>
      </w:r>
      <w:r w:rsidRPr="00720325" w:rsidR="009F3639">
        <w:rPr>
          <w:b/>
          <w:u w:val="single"/>
        </w:rPr>
        <w:t xml:space="preserve">Regulatory </w:t>
      </w:r>
      <w:r w:rsidRPr="00720325">
        <w:rPr>
          <w:b/>
          <w:u w:val="single"/>
        </w:rPr>
        <w:t>Cooperation</w:t>
      </w:r>
      <w:bookmarkStart w:name="_GoBack" w:id="4"/>
      <w:bookmarkEnd w:id="3"/>
      <w:bookmarkEnd w:id="4"/>
    </w:p>
    <w:p w:rsidR="00EC0FB3" w:rsidP="00EC0FB3" w:rsidRDefault="00EC0FB3" w14:paraId="4C392BAA" w14:textId="3FABE613">
      <w:pPr>
        <w:pStyle w:val="BodyText"/>
        <w:spacing w:after="0"/>
        <w:ind w:firstLine="0"/>
        <w:rPr>
          <w:bCs/>
        </w:rPr>
      </w:pPr>
      <w:r>
        <w:rPr>
          <w:bCs/>
        </w:rPr>
        <w:t>I</w:t>
      </w:r>
      <w:r w:rsidRPr="00E069C4">
        <w:rPr>
          <w:bCs/>
        </w:rPr>
        <w:t>n 2007</w:t>
      </w:r>
      <w:r>
        <w:rPr>
          <w:bCs/>
        </w:rPr>
        <w:t xml:space="preserve">, Australia </w:t>
      </w:r>
      <w:proofErr w:type="spellStart"/>
      <w:r>
        <w:rPr>
          <w:bCs/>
        </w:rPr>
        <w:t>recognised</w:t>
      </w:r>
      <w:proofErr w:type="spellEnd"/>
      <w:r w:rsidRPr="00E069C4">
        <w:rPr>
          <w:bCs/>
        </w:rPr>
        <w:t xml:space="preserve"> </w:t>
      </w:r>
      <w:r>
        <w:rPr>
          <w:bCs/>
        </w:rPr>
        <w:t>t</w:t>
      </w:r>
      <w:r w:rsidRPr="00E069C4">
        <w:rPr>
          <w:bCs/>
        </w:rPr>
        <w:t xml:space="preserve">he Canadian </w:t>
      </w:r>
      <w:r>
        <w:rPr>
          <w:bCs/>
        </w:rPr>
        <w:t xml:space="preserve">Environmental Protection Act’s </w:t>
      </w:r>
      <w:r w:rsidRPr="00E069C4">
        <w:rPr>
          <w:bCs/>
        </w:rPr>
        <w:t>n</w:t>
      </w:r>
      <w:r>
        <w:rPr>
          <w:bCs/>
        </w:rPr>
        <w:t>ew substances regulations</w:t>
      </w:r>
      <w:r w:rsidRPr="00E069C4">
        <w:rPr>
          <w:bCs/>
        </w:rPr>
        <w:t xml:space="preserve"> as an ‘Approved Foreign Scheme’ </w:t>
      </w:r>
      <w:r>
        <w:rPr>
          <w:bCs/>
        </w:rPr>
        <w:t xml:space="preserve">under the </w:t>
      </w:r>
      <w:r w:rsidRPr="00E069C4">
        <w:rPr>
          <w:bCs/>
        </w:rPr>
        <w:t>Industrial Chemicals (Notification and Assessment) Act 1989</w:t>
      </w:r>
      <w:r>
        <w:rPr>
          <w:bCs/>
        </w:rPr>
        <w:t>.</w:t>
      </w:r>
      <w:r w:rsidRPr="00E069C4">
        <w:rPr>
          <w:bCs/>
        </w:rPr>
        <w:t xml:space="preserve"> </w:t>
      </w:r>
      <w:r>
        <w:rPr>
          <w:bCs/>
        </w:rPr>
        <w:t xml:space="preserve">Under this </w:t>
      </w:r>
      <w:proofErr w:type="gramStart"/>
      <w:r>
        <w:rPr>
          <w:bCs/>
        </w:rPr>
        <w:t>arrangement,  Australia’s</w:t>
      </w:r>
      <w:proofErr w:type="gramEnd"/>
      <w:r>
        <w:rPr>
          <w:bCs/>
        </w:rPr>
        <w:t xml:space="preserve"> previous </w:t>
      </w:r>
      <w:r w:rsidRPr="00DC7A75">
        <w:rPr>
          <w:bCs/>
        </w:rPr>
        <w:t>N</w:t>
      </w:r>
      <w:r>
        <w:rPr>
          <w:bCs/>
        </w:rPr>
        <w:t xml:space="preserve">ational </w:t>
      </w:r>
      <w:r w:rsidRPr="00DC7A75">
        <w:rPr>
          <w:bCs/>
        </w:rPr>
        <w:t>I</w:t>
      </w:r>
      <w:r>
        <w:rPr>
          <w:bCs/>
        </w:rPr>
        <w:t xml:space="preserve">ndustrial </w:t>
      </w:r>
      <w:r w:rsidRPr="00DC7A75">
        <w:rPr>
          <w:bCs/>
        </w:rPr>
        <w:t>C</w:t>
      </w:r>
      <w:r>
        <w:rPr>
          <w:bCs/>
        </w:rPr>
        <w:t xml:space="preserve">hemicals </w:t>
      </w:r>
      <w:r w:rsidRPr="00DC7A75">
        <w:rPr>
          <w:bCs/>
        </w:rPr>
        <w:t>N</w:t>
      </w:r>
      <w:r>
        <w:rPr>
          <w:bCs/>
        </w:rPr>
        <w:t xml:space="preserve">otification and </w:t>
      </w:r>
      <w:r w:rsidRPr="00DC7A75">
        <w:rPr>
          <w:bCs/>
        </w:rPr>
        <w:t>A</w:t>
      </w:r>
      <w:r>
        <w:rPr>
          <w:bCs/>
        </w:rPr>
        <w:t xml:space="preserve">ssessment </w:t>
      </w:r>
      <w:r w:rsidRPr="00DC7A75">
        <w:rPr>
          <w:bCs/>
        </w:rPr>
        <w:t>S</w:t>
      </w:r>
      <w:r>
        <w:rPr>
          <w:bCs/>
        </w:rPr>
        <w:t>cheme</w:t>
      </w:r>
      <w:r w:rsidRPr="00DC7A75">
        <w:rPr>
          <w:bCs/>
        </w:rPr>
        <w:t xml:space="preserve"> </w:t>
      </w:r>
      <w:r>
        <w:rPr>
          <w:bCs/>
        </w:rPr>
        <w:t>(</w:t>
      </w:r>
      <w:proofErr w:type="spellStart"/>
      <w:r>
        <w:rPr>
          <w:bCs/>
        </w:rPr>
        <w:t>NICNAS</w:t>
      </w:r>
      <w:proofErr w:type="spellEnd"/>
      <w:r>
        <w:rPr>
          <w:bCs/>
        </w:rPr>
        <w:t xml:space="preserve">) </w:t>
      </w:r>
      <w:r w:rsidRPr="00DC7A75">
        <w:rPr>
          <w:bCs/>
        </w:rPr>
        <w:t>adopt</w:t>
      </w:r>
      <w:r>
        <w:rPr>
          <w:bCs/>
        </w:rPr>
        <w:t xml:space="preserve">ed the Canadian </w:t>
      </w:r>
      <w:r w:rsidRPr="00DC7A75">
        <w:rPr>
          <w:bCs/>
        </w:rPr>
        <w:t>hazard</w:t>
      </w:r>
      <w:r>
        <w:rPr>
          <w:bCs/>
        </w:rPr>
        <w:t xml:space="preserve"> </w:t>
      </w:r>
      <w:r w:rsidRPr="00DC7A75">
        <w:rPr>
          <w:bCs/>
        </w:rPr>
        <w:t>assessment and</w:t>
      </w:r>
      <w:r>
        <w:rPr>
          <w:bCs/>
        </w:rPr>
        <w:t xml:space="preserve"> </w:t>
      </w:r>
      <w:r w:rsidRPr="00DC7A75">
        <w:rPr>
          <w:bCs/>
        </w:rPr>
        <w:t>conduct</w:t>
      </w:r>
      <w:r>
        <w:rPr>
          <w:bCs/>
        </w:rPr>
        <w:t>ed</w:t>
      </w:r>
      <w:r w:rsidRPr="00DC7A75">
        <w:rPr>
          <w:bCs/>
        </w:rPr>
        <w:t xml:space="preserve"> </w:t>
      </w:r>
      <w:r>
        <w:rPr>
          <w:bCs/>
        </w:rPr>
        <w:t xml:space="preserve">its </w:t>
      </w:r>
      <w:r w:rsidRPr="00DC7A75">
        <w:rPr>
          <w:bCs/>
        </w:rPr>
        <w:t>own</w:t>
      </w:r>
      <w:r>
        <w:rPr>
          <w:bCs/>
        </w:rPr>
        <w:t xml:space="preserve"> </w:t>
      </w:r>
      <w:r w:rsidRPr="00DC7A75">
        <w:rPr>
          <w:bCs/>
        </w:rPr>
        <w:t>exposure and risk</w:t>
      </w:r>
      <w:r>
        <w:rPr>
          <w:bCs/>
        </w:rPr>
        <w:t xml:space="preserve"> </w:t>
      </w:r>
      <w:r w:rsidRPr="00DC7A75">
        <w:rPr>
          <w:bCs/>
        </w:rPr>
        <w:t>assessment</w:t>
      </w:r>
      <w:r>
        <w:rPr>
          <w:bCs/>
        </w:rPr>
        <w:t xml:space="preserve">. Australian industry benefited from </w:t>
      </w:r>
      <w:r w:rsidRPr="00E069C4">
        <w:rPr>
          <w:bCs/>
        </w:rPr>
        <w:t>reduced fees for notifications</w:t>
      </w:r>
      <w:r>
        <w:rPr>
          <w:bCs/>
        </w:rPr>
        <w:t xml:space="preserve"> </w:t>
      </w:r>
      <w:r w:rsidRPr="00E069C4">
        <w:rPr>
          <w:bCs/>
        </w:rPr>
        <w:t xml:space="preserve">submitted </w:t>
      </w:r>
      <w:r>
        <w:rPr>
          <w:bCs/>
        </w:rPr>
        <w:t xml:space="preserve">to </w:t>
      </w:r>
      <w:proofErr w:type="spellStart"/>
      <w:r>
        <w:rPr>
          <w:bCs/>
        </w:rPr>
        <w:t>NICNAS</w:t>
      </w:r>
      <w:proofErr w:type="spellEnd"/>
      <w:r>
        <w:rPr>
          <w:bCs/>
        </w:rPr>
        <w:t xml:space="preserve"> </w:t>
      </w:r>
      <w:r w:rsidRPr="00E069C4">
        <w:rPr>
          <w:bCs/>
        </w:rPr>
        <w:t>under the Approved Foreign Scheme provisions</w:t>
      </w:r>
      <w:r>
        <w:rPr>
          <w:bCs/>
        </w:rPr>
        <w:t>, and a</w:t>
      </w:r>
      <w:r w:rsidRPr="00E069C4">
        <w:rPr>
          <w:bCs/>
        </w:rPr>
        <w:t xml:space="preserve">ssessment outcomes </w:t>
      </w:r>
      <w:r>
        <w:rPr>
          <w:bCs/>
        </w:rPr>
        <w:t xml:space="preserve">between the two countries were more </w:t>
      </w:r>
      <w:r w:rsidRPr="00E069C4">
        <w:rPr>
          <w:bCs/>
        </w:rPr>
        <w:t>likely</w:t>
      </w:r>
      <w:r>
        <w:rPr>
          <w:bCs/>
        </w:rPr>
        <w:t xml:space="preserve"> </w:t>
      </w:r>
      <w:r w:rsidRPr="00E069C4">
        <w:rPr>
          <w:bCs/>
        </w:rPr>
        <w:t>to be aligned</w:t>
      </w:r>
      <w:r>
        <w:rPr>
          <w:bCs/>
        </w:rPr>
        <w:t>. The benefits to the Australian and Canadian regulators included r</w:t>
      </w:r>
      <w:r w:rsidRPr="00E069C4">
        <w:rPr>
          <w:bCs/>
        </w:rPr>
        <w:t>educe</w:t>
      </w:r>
      <w:r>
        <w:rPr>
          <w:bCs/>
        </w:rPr>
        <w:t>d</w:t>
      </w:r>
      <w:r w:rsidRPr="00E069C4">
        <w:rPr>
          <w:bCs/>
        </w:rPr>
        <w:t xml:space="preserve"> duplication of </w:t>
      </w:r>
      <w:r>
        <w:rPr>
          <w:bCs/>
        </w:rPr>
        <w:t xml:space="preserve">risk assessment </w:t>
      </w:r>
      <w:r w:rsidRPr="00E069C4">
        <w:rPr>
          <w:bCs/>
        </w:rPr>
        <w:t>effort</w:t>
      </w:r>
      <w:r>
        <w:rPr>
          <w:bCs/>
        </w:rPr>
        <w:t xml:space="preserve">, capacity building through the </w:t>
      </w:r>
      <w:r w:rsidRPr="00E069C4">
        <w:rPr>
          <w:bCs/>
        </w:rPr>
        <w:t>sharing</w:t>
      </w:r>
      <w:r>
        <w:rPr>
          <w:bCs/>
        </w:rPr>
        <w:t xml:space="preserve"> of </w:t>
      </w:r>
      <w:r w:rsidRPr="00E069C4">
        <w:rPr>
          <w:bCs/>
        </w:rPr>
        <w:t>methodologies and</w:t>
      </w:r>
      <w:r>
        <w:rPr>
          <w:bCs/>
        </w:rPr>
        <w:t xml:space="preserve"> </w:t>
      </w:r>
      <w:r w:rsidRPr="00E069C4">
        <w:rPr>
          <w:bCs/>
        </w:rPr>
        <w:t>approaches (</w:t>
      </w:r>
      <w:r>
        <w:rPr>
          <w:bCs/>
        </w:rPr>
        <w:t xml:space="preserve">facilitating </w:t>
      </w:r>
      <w:r w:rsidRPr="00E069C4">
        <w:rPr>
          <w:bCs/>
        </w:rPr>
        <w:t>potential</w:t>
      </w:r>
      <w:r>
        <w:rPr>
          <w:bCs/>
        </w:rPr>
        <w:t xml:space="preserve"> </w:t>
      </w:r>
      <w:proofErr w:type="spellStart"/>
      <w:r w:rsidRPr="00E069C4">
        <w:rPr>
          <w:bCs/>
        </w:rPr>
        <w:t>harmonisation</w:t>
      </w:r>
      <w:proofErr w:type="spellEnd"/>
      <w:r w:rsidRPr="00E069C4">
        <w:rPr>
          <w:bCs/>
        </w:rPr>
        <w:t>)</w:t>
      </w:r>
      <w:r>
        <w:rPr>
          <w:bCs/>
        </w:rPr>
        <w:t>, and a trusted source of p</w:t>
      </w:r>
      <w:r w:rsidRPr="00E069C4">
        <w:rPr>
          <w:bCs/>
        </w:rPr>
        <w:t>eer review feedback</w:t>
      </w:r>
      <w:r>
        <w:rPr>
          <w:bCs/>
        </w:rPr>
        <w:t xml:space="preserve">. </w:t>
      </w:r>
    </w:p>
    <w:p w:rsidR="00EC0FB3" w:rsidP="00EC0FB3" w:rsidRDefault="00EC0FB3" w14:paraId="484D02B5" w14:textId="77777777">
      <w:pPr>
        <w:pStyle w:val="BodyText"/>
        <w:spacing w:after="0"/>
        <w:ind w:firstLine="0"/>
        <w:rPr>
          <w:bCs/>
        </w:rPr>
      </w:pPr>
    </w:p>
    <w:p w:rsidR="00EC0FB3" w:rsidP="00EC0FB3" w:rsidRDefault="00EC0FB3" w14:paraId="4D6DAD73" w14:textId="1BB099B3">
      <w:pPr>
        <w:pStyle w:val="BodyText"/>
        <w:spacing w:after="0"/>
        <w:ind w:firstLine="0"/>
        <w:rPr>
          <w:bCs/>
        </w:rPr>
      </w:pPr>
      <w:r>
        <w:rPr>
          <w:bCs/>
        </w:rPr>
        <w:t xml:space="preserve">This cooperative arrangement was created on the foundation of similar governmental systems in the two countries, as well as similar, </w:t>
      </w:r>
      <w:r w:rsidRPr="00E069C4">
        <w:rPr>
          <w:bCs/>
        </w:rPr>
        <w:t>science</w:t>
      </w:r>
      <w:r>
        <w:rPr>
          <w:bCs/>
        </w:rPr>
        <w:t>-</w:t>
      </w:r>
      <w:r w:rsidRPr="00E069C4">
        <w:rPr>
          <w:bCs/>
        </w:rPr>
        <w:t>based</w:t>
      </w:r>
      <w:r>
        <w:rPr>
          <w:bCs/>
        </w:rPr>
        <w:t xml:space="preserve"> and risk-based chemical assessment systems. As a result, a f</w:t>
      </w:r>
      <w:r w:rsidRPr="00E069C4">
        <w:rPr>
          <w:bCs/>
        </w:rPr>
        <w:t>ormal cooperati</w:t>
      </w:r>
      <w:r>
        <w:rPr>
          <w:bCs/>
        </w:rPr>
        <w:t>ve arrangement for new chemical hazard assessments</w:t>
      </w:r>
      <w:r w:rsidRPr="00E069C4">
        <w:rPr>
          <w:bCs/>
        </w:rPr>
        <w:t xml:space="preserve"> </w:t>
      </w:r>
      <w:r>
        <w:rPr>
          <w:bCs/>
        </w:rPr>
        <w:t>has</w:t>
      </w:r>
      <w:r w:rsidRPr="00E069C4">
        <w:rPr>
          <w:bCs/>
        </w:rPr>
        <w:t xml:space="preserve"> been in</w:t>
      </w:r>
      <w:r>
        <w:rPr>
          <w:bCs/>
        </w:rPr>
        <w:t xml:space="preserve"> </w:t>
      </w:r>
      <w:r w:rsidRPr="00E069C4">
        <w:rPr>
          <w:bCs/>
        </w:rPr>
        <w:t>place since 2002</w:t>
      </w:r>
      <w:r>
        <w:rPr>
          <w:bCs/>
        </w:rPr>
        <w:t xml:space="preserve">. A number of </w:t>
      </w:r>
      <w:proofErr w:type="gramStart"/>
      <w:r>
        <w:rPr>
          <w:bCs/>
        </w:rPr>
        <w:t>confidence</w:t>
      </w:r>
      <w:proofErr w:type="gramEnd"/>
      <w:r>
        <w:rPr>
          <w:bCs/>
        </w:rPr>
        <w:t xml:space="preserve"> building</w:t>
      </w:r>
      <w:r w:rsidRPr="00E069C4">
        <w:rPr>
          <w:bCs/>
        </w:rPr>
        <w:t xml:space="preserve"> projects were undertaken prior</w:t>
      </w:r>
      <w:r w:rsidR="00F36803">
        <w:rPr>
          <w:bCs/>
        </w:rPr>
        <w:t xml:space="preserve"> to</w:t>
      </w:r>
      <w:r>
        <w:rPr>
          <w:bCs/>
        </w:rPr>
        <w:t xml:space="preserve"> Australia </w:t>
      </w:r>
      <w:proofErr w:type="spellStart"/>
      <w:r>
        <w:rPr>
          <w:bCs/>
        </w:rPr>
        <w:t>recognising</w:t>
      </w:r>
      <w:proofErr w:type="spellEnd"/>
      <w:r>
        <w:rPr>
          <w:bCs/>
        </w:rPr>
        <w:t xml:space="preserve"> Canada’s new </w:t>
      </w:r>
      <w:r>
        <w:rPr>
          <w:bCs/>
        </w:rPr>
        <w:lastRenderedPageBreak/>
        <w:t>chemicals assessment scheme</w:t>
      </w:r>
      <w:r w:rsidRPr="00E069C4">
        <w:rPr>
          <w:bCs/>
        </w:rPr>
        <w:t xml:space="preserve">, such as </w:t>
      </w:r>
      <w:r>
        <w:rPr>
          <w:bCs/>
        </w:rPr>
        <w:t xml:space="preserve">a </w:t>
      </w:r>
      <w:r w:rsidRPr="00E069C4">
        <w:rPr>
          <w:bCs/>
        </w:rPr>
        <w:t xml:space="preserve">comparison of </w:t>
      </w:r>
      <w:r>
        <w:rPr>
          <w:bCs/>
        </w:rPr>
        <w:t xml:space="preserve">the hazard assessment outcomes of </w:t>
      </w:r>
      <w:r w:rsidRPr="00E069C4">
        <w:rPr>
          <w:bCs/>
        </w:rPr>
        <w:t>previously assessed chemicals in</w:t>
      </w:r>
      <w:r>
        <w:rPr>
          <w:bCs/>
        </w:rPr>
        <w:t xml:space="preserve"> </w:t>
      </w:r>
      <w:r w:rsidRPr="00E069C4">
        <w:rPr>
          <w:bCs/>
        </w:rPr>
        <w:t>both countries</w:t>
      </w:r>
      <w:r>
        <w:rPr>
          <w:bCs/>
        </w:rPr>
        <w:t xml:space="preserve">, and the two countries also exchanged staff to facilitate mutual understanding and cooperation. </w:t>
      </w:r>
    </w:p>
    <w:p w:rsidR="00EC0FB3" w:rsidP="00EC0FB3" w:rsidRDefault="00EC0FB3" w14:paraId="03A3EA80" w14:textId="77777777">
      <w:pPr>
        <w:pStyle w:val="BodyText"/>
        <w:spacing w:after="0"/>
        <w:ind w:firstLine="0"/>
        <w:rPr>
          <w:bCs/>
        </w:rPr>
      </w:pPr>
    </w:p>
    <w:p w:rsidR="00EC0FB3" w:rsidP="00EC0FB3" w:rsidRDefault="00EC0FB3" w14:paraId="4267DC2F" w14:textId="77777777">
      <w:pPr>
        <w:pStyle w:val="BodyText"/>
        <w:spacing w:after="0"/>
        <w:ind w:firstLine="0"/>
        <w:rPr>
          <w:bCs/>
        </w:rPr>
      </w:pPr>
      <w:r w:rsidRPr="00DC7A75">
        <w:rPr>
          <w:bCs/>
        </w:rPr>
        <w:t xml:space="preserve">In 2008 </w:t>
      </w:r>
      <w:proofErr w:type="spellStart"/>
      <w:r w:rsidRPr="00DC7A75">
        <w:rPr>
          <w:bCs/>
        </w:rPr>
        <w:t>NICNAS</w:t>
      </w:r>
      <w:proofErr w:type="spellEnd"/>
      <w:r w:rsidRPr="00DC7A75">
        <w:rPr>
          <w:bCs/>
        </w:rPr>
        <w:t xml:space="preserve"> introduced similar arrangements with the US</w:t>
      </w:r>
      <w:r>
        <w:rPr>
          <w:bCs/>
        </w:rPr>
        <w:t xml:space="preserve"> EPA. In 2019, the concept was expanded to encompass risk assessments from prescribed authorities in Canada, the US and the European Union under the “international assessment pathway” of the new Australian Industrial Chemicals Introduction Scheme (AICIS) that replaced the </w:t>
      </w:r>
      <w:proofErr w:type="spellStart"/>
      <w:r>
        <w:rPr>
          <w:bCs/>
        </w:rPr>
        <w:t>NICNAS</w:t>
      </w:r>
      <w:proofErr w:type="spellEnd"/>
      <w:r>
        <w:rPr>
          <w:bCs/>
        </w:rPr>
        <w:t xml:space="preserve"> in July 2020.</w:t>
      </w:r>
    </w:p>
    <w:p w:rsidR="00402CE0" w:rsidP="00EE2EEA" w:rsidRDefault="00402CE0" w14:paraId="5A54E167" w14:textId="77777777">
      <w:pPr>
        <w:pStyle w:val="BodyText"/>
        <w:spacing w:after="0"/>
        <w:ind w:firstLine="0"/>
        <w:rPr>
          <w:bCs/>
        </w:rPr>
      </w:pPr>
    </w:p>
    <w:p w:rsidRPr="00B61E0C" w:rsidR="003A5C5E" w:rsidP="00EE2EEA" w:rsidRDefault="0018333C" w14:paraId="5A54E168" w14:textId="77777777">
      <w:pPr>
        <w:pStyle w:val="BodyText"/>
        <w:spacing w:after="0"/>
        <w:ind w:firstLine="0"/>
        <w:rPr>
          <w:b/>
          <w:bCs/>
        </w:rPr>
      </w:pPr>
      <w:r w:rsidRPr="00B61E0C">
        <w:rPr>
          <w:b/>
          <w:bCs/>
        </w:rPr>
        <w:t>Best Practices</w:t>
      </w:r>
      <w:r w:rsidRPr="00B61E0C" w:rsidR="0021169C">
        <w:rPr>
          <w:b/>
          <w:bCs/>
        </w:rPr>
        <w:t xml:space="preserve"> (examples)</w:t>
      </w:r>
      <w:r w:rsidRPr="00B61E0C">
        <w:rPr>
          <w:b/>
          <w:bCs/>
        </w:rPr>
        <w:t xml:space="preserve">: </w:t>
      </w:r>
    </w:p>
    <w:p w:rsidR="00EC0FB3" w:rsidP="00EC0FB3" w:rsidRDefault="00EC0FB3" w14:paraId="7DEA8030" w14:textId="3FF40E8C">
      <w:pPr>
        <w:pStyle w:val="BodyText"/>
        <w:numPr>
          <w:ilvl w:val="0"/>
          <w:numId w:val="15"/>
        </w:numPr>
        <w:spacing w:after="0"/>
        <w:rPr>
          <w:bCs/>
        </w:rPr>
      </w:pPr>
      <w:r>
        <w:rPr>
          <w:bCs/>
        </w:rPr>
        <w:t>S</w:t>
      </w:r>
      <w:r w:rsidRPr="003A5C5E">
        <w:rPr>
          <w:bCs/>
        </w:rPr>
        <w:t>haring (or swapping) staff so each economy could gain a better understanding for each o</w:t>
      </w:r>
      <w:r>
        <w:rPr>
          <w:bCs/>
        </w:rPr>
        <w:t>ther’s regulatory systems</w:t>
      </w:r>
    </w:p>
    <w:p w:rsidR="00EC0FB3" w:rsidP="00EC0FB3" w:rsidRDefault="00EC0FB3" w14:paraId="2844BEFB" w14:textId="77777777">
      <w:pPr>
        <w:pStyle w:val="BodyText"/>
        <w:numPr>
          <w:ilvl w:val="0"/>
          <w:numId w:val="15"/>
        </w:numPr>
        <w:spacing w:after="0"/>
        <w:rPr>
          <w:bCs/>
        </w:rPr>
      </w:pPr>
      <w:r>
        <w:rPr>
          <w:bCs/>
        </w:rPr>
        <w:t>E</w:t>
      </w:r>
      <w:r w:rsidRPr="003A5C5E">
        <w:rPr>
          <w:bCs/>
        </w:rPr>
        <w:t>xamining and identifying regulatory similarities to hel</w:t>
      </w:r>
      <w:r>
        <w:rPr>
          <w:bCs/>
        </w:rPr>
        <w:t xml:space="preserve">p build legislative mechanisms to support </w:t>
      </w:r>
      <w:r w:rsidRPr="00B16103">
        <w:rPr>
          <w:bCs/>
        </w:rPr>
        <w:t>science-based</w:t>
      </w:r>
      <w:r w:rsidRPr="00B01EAC">
        <w:rPr>
          <w:bCs/>
        </w:rPr>
        <w:t xml:space="preserve"> </w:t>
      </w:r>
      <w:r>
        <w:rPr>
          <w:bCs/>
        </w:rPr>
        <w:t>chemical regulation</w:t>
      </w:r>
    </w:p>
    <w:p w:rsidRPr="00EC0FB3" w:rsidR="00B61E0C" w:rsidP="00EC0FB3" w:rsidRDefault="00EC0FB3" w14:paraId="5A54E16B" w14:textId="095F842E">
      <w:pPr>
        <w:pStyle w:val="BodyText"/>
        <w:numPr>
          <w:ilvl w:val="0"/>
          <w:numId w:val="15"/>
        </w:numPr>
        <w:spacing w:after="0"/>
        <w:rPr>
          <w:bCs/>
        </w:rPr>
      </w:pPr>
      <w:proofErr w:type="spellStart"/>
      <w:r w:rsidRPr="00B01EAC">
        <w:rPr>
          <w:bCs/>
        </w:rPr>
        <w:t>Utilising</w:t>
      </w:r>
      <w:proofErr w:type="spellEnd"/>
      <w:r w:rsidRPr="00B01EAC">
        <w:rPr>
          <w:bCs/>
        </w:rPr>
        <w:t xml:space="preserve"> relevant international standards (trusted international risk assessments) by </w:t>
      </w:r>
      <w:proofErr w:type="spellStart"/>
      <w:r w:rsidRPr="00B01EAC">
        <w:rPr>
          <w:bCs/>
        </w:rPr>
        <w:t>NICNAS</w:t>
      </w:r>
      <w:proofErr w:type="spellEnd"/>
      <w:r w:rsidRPr="00B01EAC">
        <w:rPr>
          <w:bCs/>
        </w:rPr>
        <w:t xml:space="preserve"> and AICIS, which help to reduce the impact of chemical regulation on international trade flows</w:t>
      </w:r>
      <w:r>
        <w:rPr>
          <w:bCs/>
        </w:rPr>
        <w:t>.</w:t>
      </w:r>
    </w:p>
    <w:p w:rsidR="00985FD2" w:rsidP="00EE2EEA" w:rsidRDefault="00985FD2" w14:paraId="5A54E16C" w14:textId="77777777">
      <w:pPr>
        <w:pStyle w:val="BodyText"/>
        <w:spacing w:after="0"/>
        <w:ind w:firstLine="0"/>
        <w:rPr>
          <w:bCs/>
          <w:u w:val="single"/>
        </w:rPr>
      </w:pPr>
    </w:p>
    <w:p w:rsidRPr="00720325" w:rsidR="00270C94" w:rsidP="00720325" w:rsidRDefault="00BD233D" w14:paraId="5A54E16E" w14:textId="310465D4">
      <w:pPr>
        <w:pStyle w:val="Heading3"/>
        <w:tabs>
          <w:tab w:val="clear" w:pos="2160"/>
          <w:tab w:val="num" w:pos="540"/>
        </w:tabs>
        <w:ind w:left="0" w:firstLine="0"/>
        <w:rPr>
          <w:b/>
          <w:u w:val="single"/>
        </w:rPr>
      </w:pPr>
      <w:bookmarkStart w:name="_Toc55375560" w:id="5"/>
      <w:r w:rsidRPr="00720325">
        <w:rPr>
          <w:b/>
          <w:u w:val="single"/>
        </w:rPr>
        <w:t>U.S.-Canada Regulatory Cooperation Council (</w:t>
      </w:r>
      <w:proofErr w:type="spellStart"/>
      <w:r w:rsidRPr="00720325">
        <w:rPr>
          <w:b/>
          <w:u w:val="single"/>
        </w:rPr>
        <w:t>RCC</w:t>
      </w:r>
      <w:proofErr w:type="spellEnd"/>
      <w:r w:rsidRPr="00720325">
        <w:rPr>
          <w:b/>
          <w:u w:val="single"/>
        </w:rPr>
        <w:t>)</w:t>
      </w:r>
      <w:bookmarkEnd w:id="5"/>
    </w:p>
    <w:p w:rsidR="00FA0F5C" w:rsidP="00EE2EEA" w:rsidRDefault="00270C94" w14:paraId="5A54E16F" w14:textId="3F6F0C54">
      <w:pPr>
        <w:pStyle w:val="BodyText"/>
        <w:spacing w:after="0"/>
        <w:ind w:firstLine="0"/>
        <w:rPr>
          <w:bCs/>
        </w:rPr>
      </w:pPr>
      <w:r>
        <w:rPr>
          <w:bCs/>
        </w:rPr>
        <w:t xml:space="preserve">Launched in 2011, the </w:t>
      </w:r>
      <w:hyperlink w:history="1" r:id="rId8">
        <w:r w:rsidRPr="0047137F">
          <w:rPr>
            <w:rStyle w:val="Hyperlink"/>
            <w:bCs/>
          </w:rPr>
          <w:t>U.S. – Canada Regulatory Cooperation Council</w:t>
        </w:r>
      </w:hyperlink>
      <w:r>
        <w:rPr>
          <w:bCs/>
        </w:rPr>
        <w:t xml:space="preserve"> (</w:t>
      </w:r>
      <w:proofErr w:type="spellStart"/>
      <w:r>
        <w:rPr>
          <w:bCs/>
        </w:rPr>
        <w:t>RCC</w:t>
      </w:r>
      <w:proofErr w:type="spellEnd"/>
      <w:r>
        <w:rPr>
          <w:bCs/>
        </w:rPr>
        <w:t xml:space="preserve">) </w:t>
      </w:r>
      <w:r w:rsidRPr="007177E3" w:rsidR="007177E3">
        <w:rPr>
          <w:bCs/>
        </w:rPr>
        <w:t>bring</w:t>
      </w:r>
      <w:r w:rsidR="007177E3">
        <w:rPr>
          <w:bCs/>
        </w:rPr>
        <w:t>s together regulat</w:t>
      </w:r>
      <w:r w:rsidR="00325A0E">
        <w:rPr>
          <w:bCs/>
        </w:rPr>
        <w:t xml:space="preserve">ory officials, industry, and other stakeholder members of the public </w:t>
      </w:r>
      <w:r w:rsidR="007177E3">
        <w:rPr>
          <w:bCs/>
        </w:rPr>
        <w:t>from</w:t>
      </w:r>
      <w:r w:rsidR="00325A0E">
        <w:rPr>
          <w:bCs/>
        </w:rPr>
        <w:t xml:space="preserve"> the</w:t>
      </w:r>
      <w:r w:rsidR="007177E3">
        <w:rPr>
          <w:bCs/>
        </w:rPr>
        <w:t xml:space="preserve"> U.S. and Canad</w:t>
      </w:r>
      <w:r w:rsidR="00325A0E">
        <w:rPr>
          <w:bCs/>
        </w:rPr>
        <w:t xml:space="preserve">a to promote economic growth, innovation, competitiveness, and job creation through the elimination of unnecessary regulatory differences between the two countries. </w:t>
      </w:r>
      <w:proofErr w:type="spellStart"/>
      <w:r w:rsidRPr="00FA0F5C" w:rsidR="00FA0F5C">
        <w:rPr>
          <w:bCs/>
        </w:rPr>
        <w:t>RCC's</w:t>
      </w:r>
      <w:proofErr w:type="spellEnd"/>
      <w:r w:rsidRPr="00FA0F5C" w:rsidR="00FA0F5C">
        <w:rPr>
          <w:bCs/>
        </w:rPr>
        <w:t xml:space="preserve"> leadership in both economies is located in central parts of the government.  For the United States, </w:t>
      </w:r>
      <w:proofErr w:type="spellStart"/>
      <w:r w:rsidRPr="00FA0F5C" w:rsidR="00FA0F5C">
        <w:rPr>
          <w:bCs/>
        </w:rPr>
        <w:t>RCC</w:t>
      </w:r>
      <w:proofErr w:type="spellEnd"/>
      <w:r w:rsidRPr="00FA0F5C" w:rsidR="00FA0F5C">
        <w:rPr>
          <w:bCs/>
        </w:rPr>
        <w:t xml:space="preserve"> leadership is in the Office of Management and</w:t>
      </w:r>
      <w:r w:rsidR="009F17F1">
        <w:rPr>
          <w:bCs/>
        </w:rPr>
        <w:t xml:space="preserve"> Budget. For Canada, </w:t>
      </w:r>
      <w:proofErr w:type="spellStart"/>
      <w:r w:rsidR="009F17F1">
        <w:rPr>
          <w:bCs/>
        </w:rPr>
        <w:t>RCC</w:t>
      </w:r>
      <w:proofErr w:type="spellEnd"/>
      <w:r w:rsidR="009F17F1">
        <w:rPr>
          <w:bCs/>
        </w:rPr>
        <w:t xml:space="preserve"> </w:t>
      </w:r>
      <w:r w:rsidR="002B14E3">
        <w:rPr>
          <w:bCs/>
        </w:rPr>
        <w:t>l</w:t>
      </w:r>
      <w:r w:rsidR="009F17F1">
        <w:rPr>
          <w:bCs/>
        </w:rPr>
        <w:t>eadership is in</w:t>
      </w:r>
      <w:r w:rsidRPr="00FA0F5C" w:rsidR="00FA0F5C">
        <w:rPr>
          <w:bCs/>
        </w:rPr>
        <w:t xml:space="preserve"> the Treasury Board</w:t>
      </w:r>
      <w:r w:rsidR="002B14E3">
        <w:rPr>
          <w:bCs/>
        </w:rPr>
        <w:t xml:space="preserve"> Secretariat</w:t>
      </w:r>
      <w:r w:rsidRPr="00FA0F5C" w:rsidR="00FA0F5C">
        <w:rPr>
          <w:bCs/>
        </w:rPr>
        <w:t xml:space="preserve">. </w:t>
      </w:r>
    </w:p>
    <w:p w:rsidR="00FA0F5C" w:rsidP="00EE2EEA" w:rsidRDefault="00FA0F5C" w14:paraId="5A54E170" w14:textId="77777777">
      <w:pPr>
        <w:pStyle w:val="BodyText"/>
        <w:spacing w:after="0"/>
        <w:ind w:firstLine="0"/>
        <w:rPr>
          <w:bCs/>
        </w:rPr>
      </w:pPr>
    </w:p>
    <w:p w:rsidR="00270C94" w:rsidP="00EE2EEA" w:rsidRDefault="00FA0F5C" w14:paraId="5A54E171" w14:textId="7E45E1AA">
      <w:pPr>
        <w:pStyle w:val="BodyText"/>
        <w:spacing w:after="0"/>
        <w:ind w:firstLine="0"/>
        <w:rPr>
          <w:bCs/>
        </w:rPr>
      </w:pPr>
      <w:r w:rsidRPr="00FA0F5C">
        <w:rPr>
          <w:bCs/>
        </w:rPr>
        <w:t xml:space="preserve">The </w:t>
      </w:r>
      <w:proofErr w:type="spellStart"/>
      <w:r w:rsidRPr="00FA0F5C">
        <w:rPr>
          <w:bCs/>
        </w:rPr>
        <w:t>RCC</w:t>
      </w:r>
      <w:proofErr w:type="spellEnd"/>
      <w:r w:rsidRPr="00FA0F5C">
        <w:rPr>
          <w:bCs/>
        </w:rPr>
        <w:t xml:space="preserve"> helps </w:t>
      </w:r>
      <w:r w:rsidR="00E91BCB">
        <w:rPr>
          <w:bCs/>
        </w:rPr>
        <w:t xml:space="preserve">to </w:t>
      </w:r>
      <w:r w:rsidRPr="00FA0F5C">
        <w:rPr>
          <w:bCs/>
        </w:rPr>
        <w:t xml:space="preserve">coordinate various </w:t>
      </w:r>
      <w:r w:rsidR="009F17F1">
        <w:rPr>
          <w:bCs/>
        </w:rPr>
        <w:t>inputs</w:t>
      </w:r>
      <w:r w:rsidR="002B14E3">
        <w:rPr>
          <w:bCs/>
        </w:rPr>
        <w:t xml:space="preserve"> from regulatory departments and agencies</w:t>
      </w:r>
      <w:r w:rsidR="009F17F1">
        <w:rPr>
          <w:bCs/>
        </w:rPr>
        <w:t xml:space="preserve">, maintains </w:t>
      </w:r>
      <w:r w:rsidRPr="00FA0F5C">
        <w:rPr>
          <w:bCs/>
        </w:rPr>
        <w:t>detailed work plans</w:t>
      </w:r>
      <w:r w:rsidR="009F17F1">
        <w:rPr>
          <w:bCs/>
        </w:rPr>
        <w:t>,</w:t>
      </w:r>
      <w:r w:rsidRPr="00FA0F5C">
        <w:rPr>
          <w:bCs/>
        </w:rPr>
        <w:t xml:space="preserve"> and</w:t>
      </w:r>
      <w:r w:rsidR="009F17F1">
        <w:rPr>
          <w:bCs/>
        </w:rPr>
        <w:t xml:space="preserve"> ensures</w:t>
      </w:r>
      <w:r w:rsidRPr="00FA0F5C">
        <w:rPr>
          <w:bCs/>
        </w:rPr>
        <w:t xml:space="preserve"> everything is publicly available.  For coordination purposes, the economies have ongoing, informal conference calls between regulators, including </w:t>
      </w:r>
      <w:r w:rsidR="002B14E3">
        <w:rPr>
          <w:bCs/>
        </w:rPr>
        <w:t>from</w:t>
      </w:r>
      <w:r w:rsidR="00815777">
        <w:rPr>
          <w:bCs/>
        </w:rPr>
        <w:t xml:space="preserve"> </w:t>
      </w:r>
      <w:r w:rsidRPr="00FA0F5C">
        <w:rPr>
          <w:bCs/>
        </w:rPr>
        <w:t xml:space="preserve">the U.S. Environmental Protection Agency, the U.S. Department of Labor, Health Canada, and Environment </w:t>
      </w:r>
      <w:r w:rsidR="002B14E3">
        <w:rPr>
          <w:bCs/>
        </w:rPr>
        <w:t xml:space="preserve">and Climate Change </w:t>
      </w:r>
      <w:r w:rsidRPr="00FA0F5C">
        <w:rPr>
          <w:bCs/>
        </w:rPr>
        <w:t>Canada.</w:t>
      </w:r>
    </w:p>
    <w:p w:rsidR="00AE5566" w:rsidP="00EE2EEA" w:rsidRDefault="00AE5566" w14:paraId="5A54E174" w14:textId="77777777">
      <w:pPr>
        <w:pStyle w:val="BodyText"/>
        <w:spacing w:after="0"/>
        <w:ind w:firstLine="0"/>
        <w:rPr>
          <w:bCs/>
        </w:rPr>
      </w:pPr>
    </w:p>
    <w:p w:rsidRPr="00F51F5C" w:rsidR="008F5D07" w:rsidP="00EE2EEA" w:rsidRDefault="008F5D07" w14:paraId="5A54E175" w14:textId="77777777">
      <w:pPr>
        <w:pStyle w:val="BodyText"/>
        <w:spacing w:after="0"/>
        <w:ind w:firstLine="0"/>
        <w:rPr>
          <w:b/>
          <w:bCs/>
          <w:i/>
        </w:rPr>
      </w:pPr>
      <w:r w:rsidRPr="00F51F5C">
        <w:rPr>
          <w:b/>
          <w:bCs/>
          <w:i/>
        </w:rPr>
        <w:t>Best Practices:</w:t>
      </w:r>
    </w:p>
    <w:p w:rsidR="00F51F5C" w:rsidP="00F51F5C" w:rsidRDefault="00E91BCB" w14:paraId="438C1A92" w14:textId="77777777">
      <w:pPr>
        <w:pStyle w:val="BodyText"/>
        <w:numPr>
          <w:ilvl w:val="0"/>
          <w:numId w:val="26"/>
        </w:numPr>
        <w:spacing w:after="0"/>
        <w:rPr>
          <w:bCs/>
          <w:szCs w:val="20"/>
        </w:rPr>
      </w:pPr>
      <w:r w:rsidRPr="00C81AD8">
        <w:rPr>
          <w:bCs/>
          <w:szCs w:val="20"/>
        </w:rPr>
        <w:t>Under the auspices of the Regulatory Partnership Statement published in 2015 that encouraged ongoing collaboration on chemicals and engagement of stakeholders</w:t>
      </w:r>
      <w:r w:rsidRPr="00C81AD8" w:rsidR="00325A0E">
        <w:rPr>
          <w:bCs/>
          <w:szCs w:val="20"/>
        </w:rPr>
        <w:t xml:space="preserve">, </w:t>
      </w:r>
      <w:r w:rsidR="002B14E3">
        <w:rPr>
          <w:bCs/>
          <w:szCs w:val="20"/>
        </w:rPr>
        <w:t xml:space="preserve">U.S. </w:t>
      </w:r>
      <w:r w:rsidRPr="00C81AD8" w:rsidR="00325A0E">
        <w:rPr>
          <w:bCs/>
          <w:szCs w:val="20"/>
        </w:rPr>
        <w:t xml:space="preserve">EPA partnered with Environment and Climate Change Canada and Health Canada to implement the </w:t>
      </w:r>
      <w:proofErr w:type="spellStart"/>
      <w:r w:rsidRPr="00C81AD8" w:rsidR="00325A0E">
        <w:rPr>
          <w:bCs/>
          <w:szCs w:val="20"/>
        </w:rPr>
        <w:t>RCC</w:t>
      </w:r>
      <w:proofErr w:type="spellEnd"/>
      <w:r w:rsidRPr="00C81AD8" w:rsidR="00325A0E">
        <w:rPr>
          <w:bCs/>
          <w:szCs w:val="20"/>
        </w:rPr>
        <w:t xml:space="preserve"> Chemicals Management Work Plan between 2015 and 2018. </w:t>
      </w:r>
    </w:p>
    <w:p w:rsidRPr="00C81AD8" w:rsidR="008F5D07" w:rsidP="00F51F5C" w:rsidRDefault="00E91BCB" w14:paraId="5A54E178" w14:textId="70E42A2E">
      <w:pPr>
        <w:pStyle w:val="BodyText"/>
        <w:numPr>
          <w:ilvl w:val="0"/>
          <w:numId w:val="26"/>
        </w:numPr>
        <w:spacing w:after="0"/>
        <w:rPr>
          <w:bCs/>
          <w:szCs w:val="20"/>
        </w:rPr>
      </w:pPr>
      <w:r w:rsidRPr="00C81AD8">
        <w:rPr>
          <w:bCs/>
          <w:szCs w:val="20"/>
        </w:rPr>
        <w:t>Through</w:t>
      </w:r>
      <w:r w:rsidR="002B14E3">
        <w:rPr>
          <w:bCs/>
          <w:szCs w:val="20"/>
        </w:rPr>
        <w:t>out the implementation of the work plan</w:t>
      </w:r>
      <w:r w:rsidRPr="00C81AD8">
        <w:rPr>
          <w:bCs/>
          <w:szCs w:val="20"/>
        </w:rPr>
        <w:t xml:space="preserve">, stakeholders made significant contributions by participating in technical working groups and </w:t>
      </w:r>
      <w:r w:rsidRPr="00C81AD8" w:rsidR="00325A0E">
        <w:rPr>
          <w:bCs/>
          <w:szCs w:val="20"/>
        </w:rPr>
        <w:t>roundtables and</w:t>
      </w:r>
      <w:r w:rsidRPr="00C81AD8">
        <w:rPr>
          <w:bCs/>
          <w:szCs w:val="20"/>
        </w:rPr>
        <w:t xml:space="preserve"> submitting valuable comments which informed and </w:t>
      </w:r>
      <w:r w:rsidRPr="00C81AD8" w:rsidR="00325A0E">
        <w:rPr>
          <w:bCs/>
          <w:szCs w:val="20"/>
        </w:rPr>
        <w:t>shaped</w:t>
      </w:r>
      <w:r w:rsidRPr="00C81AD8">
        <w:rPr>
          <w:bCs/>
          <w:szCs w:val="20"/>
        </w:rPr>
        <w:t xml:space="preserve"> the projects. </w:t>
      </w:r>
    </w:p>
    <w:p w:rsidR="009F3639" w:rsidP="00EE2EEA" w:rsidRDefault="009F3639" w14:paraId="5A54E179" w14:textId="77777777">
      <w:pPr>
        <w:pStyle w:val="BodyText"/>
        <w:spacing w:after="0"/>
        <w:ind w:firstLine="0"/>
        <w:rPr>
          <w:bCs/>
          <w:sz w:val="24"/>
          <w:u w:val="single"/>
        </w:rPr>
      </w:pPr>
    </w:p>
    <w:p w:rsidRPr="00720325" w:rsidR="009F3639" w:rsidP="00720325" w:rsidRDefault="00492CAA" w14:paraId="5A54E17B" w14:textId="627B3235">
      <w:pPr>
        <w:pStyle w:val="Heading3"/>
        <w:tabs>
          <w:tab w:val="clear" w:pos="2160"/>
          <w:tab w:val="num" w:pos="540"/>
        </w:tabs>
        <w:ind w:left="0" w:firstLine="0"/>
        <w:rPr>
          <w:b/>
          <w:u w:val="single"/>
        </w:rPr>
      </w:pPr>
      <w:bookmarkStart w:name="_Toc55375561" w:id="6"/>
      <w:r w:rsidRPr="00720325">
        <w:rPr>
          <w:b/>
          <w:u w:val="single"/>
        </w:rPr>
        <w:t>Latin American Bilateral Regulatory Cooperation</w:t>
      </w:r>
      <w:bookmarkEnd w:id="6"/>
      <w:r w:rsidRPr="00720325">
        <w:rPr>
          <w:b/>
          <w:u w:val="single"/>
        </w:rPr>
        <w:t xml:space="preserve">  </w:t>
      </w:r>
    </w:p>
    <w:p w:rsidRPr="00FB709F" w:rsidR="002234DD" w:rsidP="00FB709F" w:rsidRDefault="00660999" w14:paraId="3C6DD900" w14:textId="71CDEBF5">
      <w:pPr>
        <w:pStyle w:val="BodyText"/>
        <w:spacing w:after="0"/>
        <w:ind w:firstLine="0"/>
        <w:rPr>
          <w:bCs/>
        </w:rPr>
      </w:pPr>
      <w:r w:rsidRPr="00FB709F">
        <w:rPr>
          <w:bCs/>
        </w:rPr>
        <w:t xml:space="preserve">Argentina-Brazil </w:t>
      </w:r>
      <w:hyperlink w:history="1" r:id="rId9">
        <w:r w:rsidRPr="00FB709F">
          <w:rPr>
            <w:rStyle w:val="Hyperlink"/>
            <w:b/>
          </w:rPr>
          <w:t>Memorandum of Understanding</w:t>
        </w:r>
      </w:hyperlink>
      <w:r w:rsidRPr="00FB709F">
        <w:rPr>
          <w:bCs/>
        </w:rPr>
        <w:t xml:space="preserve"> on Regulatory Cooperation for </w:t>
      </w:r>
      <w:r w:rsidRPr="00FB709F" w:rsidR="00F9623D">
        <w:rPr>
          <w:bCs/>
        </w:rPr>
        <w:t xml:space="preserve">the Sound Management of </w:t>
      </w:r>
      <w:r w:rsidRPr="00FB709F">
        <w:rPr>
          <w:bCs/>
        </w:rPr>
        <w:t>Chemical Substances</w:t>
      </w:r>
      <w:r w:rsidRPr="00FB709F" w:rsidR="00F9623D">
        <w:rPr>
          <w:bCs/>
        </w:rPr>
        <w:t xml:space="preserve"> and Chemical Produ</w:t>
      </w:r>
      <w:r w:rsidRPr="00FB709F" w:rsidR="00677255">
        <w:rPr>
          <w:bCs/>
        </w:rPr>
        <w:t>cts was signed in October 2018 for a period of 5 years.</w:t>
      </w:r>
      <w:r w:rsidR="00FB709F">
        <w:rPr>
          <w:bCs/>
        </w:rPr>
        <w:t xml:space="preserve"> </w:t>
      </w:r>
      <w:r w:rsidRPr="00FB709F" w:rsidR="00F9623D">
        <w:rPr>
          <w:bCs/>
        </w:rPr>
        <w:t>Argentina and Brazil</w:t>
      </w:r>
      <w:r w:rsidRPr="00FB709F" w:rsidR="009E6027">
        <w:rPr>
          <w:bCs/>
        </w:rPr>
        <w:t xml:space="preserve"> </w:t>
      </w:r>
      <w:r w:rsidR="00FB709F">
        <w:rPr>
          <w:bCs/>
        </w:rPr>
        <w:t>agreement intend</w:t>
      </w:r>
      <w:r w:rsidRPr="00FB709F" w:rsidR="00F9623D">
        <w:rPr>
          <w:bCs/>
        </w:rPr>
        <w:t xml:space="preserve"> to achieve </w:t>
      </w:r>
      <w:r w:rsidRPr="00FB709F" w:rsidR="009E6027">
        <w:rPr>
          <w:bCs/>
        </w:rPr>
        <w:t>synergies towards the sound management of chemicals</w:t>
      </w:r>
      <w:r w:rsidRPr="00FB709F" w:rsidR="00F9623D">
        <w:rPr>
          <w:bCs/>
        </w:rPr>
        <w:t xml:space="preserve"> through</w:t>
      </w:r>
      <w:r w:rsidRPr="00FB709F" w:rsidR="009E6027">
        <w:rPr>
          <w:bCs/>
        </w:rPr>
        <w:t xml:space="preserve"> Regulatory </w:t>
      </w:r>
      <w:r w:rsidRPr="00FB709F" w:rsidR="00F9623D">
        <w:rPr>
          <w:bCs/>
        </w:rPr>
        <w:t>convergence</w:t>
      </w:r>
      <w:r w:rsidRPr="00FB709F" w:rsidR="009E6027">
        <w:rPr>
          <w:bCs/>
        </w:rPr>
        <w:t xml:space="preserve"> and </w:t>
      </w:r>
      <w:r w:rsidRPr="00FB709F" w:rsidR="008F3AB2">
        <w:rPr>
          <w:bCs/>
        </w:rPr>
        <w:t>to foster</w:t>
      </w:r>
      <w:r w:rsidRPr="00FB709F" w:rsidR="00F9623D">
        <w:rPr>
          <w:bCs/>
        </w:rPr>
        <w:t xml:space="preserve"> t</w:t>
      </w:r>
      <w:r w:rsidRPr="00FB709F" w:rsidR="009E6027">
        <w:rPr>
          <w:bCs/>
        </w:rPr>
        <w:t xml:space="preserve">rade facilitation in </w:t>
      </w:r>
      <w:r w:rsidRPr="00FB709F" w:rsidR="00F9623D">
        <w:rPr>
          <w:bCs/>
        </w:rPr>
        <w:t>Mercosur</w:t>
      </w:r>
      <w:r w:rsidRPr="00FB709F" w:rsidR="009E6027">
        <w:rPr>
          <w:bCs/>
        </w:rPr>
        <w:t>.</w:t>
      </w:r>
    </w:p>
    <w:p w:rsidRPr="00FB709F" w:rsidR="008F3AB2" w:rsidP="00C61CD7" w:rsidRDefault="008F3AB2" w14:paraId="70931C65" w14:textId="77777777">
      <w:pPr>
        <w:pStyle w:val="BodyText"/>
        <w:spacing w:after="0"/>
        <w:ind w:firstLine="0"/>
        <w:rPr>
          <w:bCs/>
        </w:rPr>
      </w:pPr>
    </w:p>
    <w:p w:rsidR="00F51F5C" w:rsidP="008F3AB2" w:rsidRDefault="00F51F5C" w14:paraId="7C330A10" w14:textId="77777777">
      <w:pPr>
        <w:pStyle w:val="BodyText"/>
        <w:spacing w:after="0"/>
        <w:ind w:firstLine="0"/>
        <w:rPr>
          <w:b/>
          <w:bCs/>
        </w:rPr>
      </w:pPr>
    </w:p>
    <w:p w:rsidRPr="00F51F5C" w:rsidR="008F3AB2" w:rsidP="008F3AB2" w:rsidRDefault="008F3AB2" w14:paraId="04305DE9" w14:textId="77777777">
      <w:pPr>
        <w:pStyle w:val="BodyText"/>
        <w:spacing w:after="0"/>
        <w:ind w:firstLine="0"/>
        <w:rPr>
          <w:b/>
          <w:bCs/>
          <w:i/>
        </w:rPr>
      </w:pPr>
      <w:r w:rsidRPr="00F51F5C">
        <w:rPr>
          <w:b/>
          <w:bCs/>
          <w:i/>
        </w:rPr>
        <w:t xml:space="preserve">Best Practices: </w:t>
      </w:r>
    </w:p>
    <w:p w:rsidRPr="00FB709F" w:rsidR="008F3AB2" w:rsidP="008F3AB2" w:rsidRDefault="008F3AB2" w14:paraId="4198ABF4" w14:textId="77777777">
      <w:pPr>
        <w:pStyle w:val="BodyText"/>
        <w:spacing w:after="0"/>
        <w:ind w:firstLine="0"/>
        <w:rPr>
          <w:b/>
          <w:bCs/>
        </w:rPr>
      </w:pPr>
    </w:p>
    <w:p w:rsidR="00F51F5C" w:rsidP="00C61CD7" w:rsidRDefault="00720325" w14:paraId="26B6DBC0" w14:textId="77777777">
      <w:pPr>
        <w:pStyle w:val="BodyText"/>
        <w:spacing w:after="0"/>
        <w:ind w:firstLine="0"/>
        <w:rPr>
          <w:bCs/>
        </w:rPr>
      </w:pPr>
      <w:r>
        <w:rPr>
          <w:bCs/>
        </w:rPr>
        <w:t xml:space="preserve">This MOU </w:t>
      </w:r>
      <w:r w:rsidRPr="00FB709F" w:rsidR="00F9623D">
        <w:rPr>
          <w:bCs/>
        </w:rPr>
        <w:t>included the</w:t>
      </w:r>
      <w:r w:rsidR="00F51F5C">
        <w:rPr>
          <w:bCs/>
        </w:rPr>
        <w:t xml:space="preserve"> next areas of cooperation: </w:t>
      </w:r>
    </w:p>
    <w:p w:rsidR="00F51F5C" w:rsidP="00F51F5C" w:rsidRDefault="00F9623D" w14:paraId="32895390" w14:textId="186E1AEA">
      <w:pPr>
        <w:pStyle w:val="BodyText"/>
        <w:numPr>
          <w:ilvl w:val="0"/>
          <w:numId w:val="27"/>
        </w:numPr>
        <w:spacing w:after="0"/>
        <w:rPr>
          <w:bCs/>
        </w:rPr>
      </w:pPr>
      <w:r w:rsidRPr="00FB709F">
        <w:rPr>
          <w:bCs/>
        </w:rPr>
        <w:t xml:space="preserve">Draft of </w:t>
      </w:r>
      <w:r w:rsidR="00F51F5C">
        <w:rPr>
          <w:bCs/>
        </w:rPr>
        <w:t>public policies and regulations;</w:t>
      </w:r>
      <w:r w:rsidRPr="00FB709F">
        <w:rPr>
          <w:bCs/>
        </w:rPr>
        <w:t xml:space="preserve"> </w:t>
      </w:r>
    </w:p>
    <w:p w:rsidR="00F51F5C" w:rsidP="00F51F5C" w:rsidRDefault="00F9623D" w14:paraId="18CE4122" w14:textId="77777777">
      <w:pPr>
        <w:pStyle w:val="BodyText"/>
        <w:numPr>
          <w:ilvl w:val="0"/>
          <w:numId w:val="27"/>
        </w:numPr>
        <w:spacing w:after="0"/>
        <w:rPr>
          <w:bCs/>
        </w:rPr>
      </w:pPr>
      <w:r w:rsidRPr="00FB709F">
        <w:rPr>
          <w:bCs/>
        </w:rPr>
        <w:t>Development of mechanisms to ensure the compliance to the multilatera</w:t>
      </w:r>
      <w:r w:rsidR="00F51F5C">
        <w:rPr>
          <w:bCs/>
        </w:rPr>
        <w:t>l environmental agreements;</w:t>
      </w:r>
    </w:p>
    <w:p w:rsidR="00F51F5C" w:rsidP="00F51F5C" w:rsidRDefault="00F51F5C" w14:paraId="0678ED0D" w14:textId="6EF65B4D">
      <w:pPr>
        <w:pStyle w:val="BodyText"/>
        <w:numPr>
          <w:ilvl w:val="0"/>
          <w:numId w:val="27"/>
        </w:numPr>
        <w:spacing w:after="0"/>
        <w:rPr>
          <w:bCs/>
        </w:rPr>
      </w:pPr>
      <w:r>
        <w:rPr>
          <w:bCs/>
        </w:rPr>
        <w:t>Systems of t</w:t>
      </w:r>
      <w:r w:rsidRPr="00FB709F" w:rsidR="00F9623D">
        <w:rPr>
          <w:bCs/>
        </w:rPr>
        <w:t>ransboundary con</w:t>
      </w:r>
      <w:r>
        <w:rPr>
          <w:bCs/>
        </w:rPr>
        <w:t>trol of chemical substances;</w:t>
      </w:r>
    </w:p>
    <w:p w:rsidR="00F51F5C" w:rsidP="00F51F5C" w:rsidRDefault="00015540" w14:paraId="70364B7D" w14:textId="44B1396C">
      <w:pPr>
        <w:pStyle w:val="BodyText"/>
        <w:numPr>
          <w:ilvl w:val="0"/>
          <w:numId w:val="27"/>
        </w:numPr>
        <w:spacing w:after="0"/>
        <w:rPr>
          <w:bCs/>
        </w:rPr>
      </w:pPr>
      <w:r w:rsidRPr="00FB709F">
        <w:rPr>
          <w:bCs/>
        </w:rPr>
        <w:t xml:space="preserve">Mutual recognition of </w:t>
      </w:r>
      <w:r w:rsidR="00F51F5C">
        <w:rPr>
          <w:bCs/>
        </w:rPr>
        <w:t>d</w:t>
      </w:r>
      <w:r w:rsidRPr="00FB709F">
        <w:rPr>
          <w:bCs/>
        </w:rPr>
        <w:t>ata existent in the nation</w:t>
      </w:r>
      <w:r w:rsidR="00F51F5C">
        <w:rPr>
          <w:bCs/>
        </w:rPr>
        <w:t>al inventory of substances;</w:t>
      </w:r>
    </w:p>
    <w:p w:rsidR="00F51F5C" w:rsidP="00F51F5C" w:rsidRDefault="00015540" w14:paraId="641C65CF" w14:textId="77777777">
      <w:pPr>
        <w:pStyle w:val="BodyText"/>
        <w:numPr>
          <w:ilvl w:val="0"/>
          <w:numId w:val="27"/>
        </w:numPr>
        <w:spacing w:after="0"/>
        <w:rPr>
          <w:bCs/>
        </w:rPr>
      </w:pPr>
      <w:r w:rsidRPr="00FB709F">
        <w:rPr>
          <w:bCs/>
        </w:rPr>
        <w:t xml:space="preserve">Mutual recognition of risk assessments </w:t>
      </w:r>
      <w:r w:rsidRPr="00FB709F" w:rsidR="008F3AB2">
        <w:rPr>
          <w:bCs/>
        </w:rPr>
        <w:t>of</w:t>
      </w:r>
      <w:r w:rsidR="00F51F5C">
        <w:rPr>
          <w:bCs/>
        </w:rPr>
        <w:t xml:space="preserve"> prioritized substances; </w:t>
      </w:r>
    </w:p>
    <w:p w:rsidR="00F51F5C" w:rsidP="00F51F5C" w:rsidRDefault="00F51F5C" w14:paraId="1E2EE613" w14:textId="5160E90E">
      <w:pPr>
        <w:pStyle w:val="BodyText"/>
        <w:numPr>
          <w:ilvl w:val="0"/>
          <w:numId w:val="27"/>
        </w:numPr>
        <w:spacing w:after="0"/>
        <w:rPr>
          <w:bCs/>
        </w:rPr>
      </w:pPr>
      <w:r>
        <w:rPr>
          <w:bCs/>
        </w:rPr>
        <w:t>S</w:t>
      </w:r>
      <w:r w:rsidRPr="00FB709F" w:rsidR="00015540">
        <w:rPr>
          <w:bCs/>
        </w:rPr>
        <w:t>trategies for</w:t>
      </w:r>
      <w:r w:rsidRPr="00FB709F" w:rsidR="008F3AB2">
        <w:rPr>
          <w:bCs/>
        </w:rPr>
        <w:t xml:space="preserve"> </w:t>
      </w:r>
      <w:r w:rsidRPr="00253797" w:rsidR="00253797">
        <w:rPr>
          <w:bCs/>
        </w:rPr>
        <w:t xml:space="preserve">Globally Harmonized System of Classification and Labelling of Chemicals </w:t>
      </w:r>
      <w:r w:rsidR="00253797">
        <w:rPr>
          <w:bCs/>
        </w:rPr>
        <w:t>(</w:t>
      </w:r>
      <w:r w:rsidRPr="00FB709F" w:rsidR="008F3AB2">
        <w:rPr>
          <w:bCs/>
        </w:rPr>
        <w:t>GHS</w:t>
      </w:r>
      <w:r w:rsidR="00253797">
        <w:rPr>
          <w:bCs/>
        </w:rPr>
        <w:t>)</w:t>
      </w:r>
      <w:r w:rsidRPr="00FB709F" w:rsidR="00015540">
        <w:rPr>
          <w:bCs/>
        </w:rPr>
        <w:t xml:space="preserve"> implementa</w:t>
      </w:r>
      <w:r w:rsidRPr="00FB709F" w:rsidR="008F3AB2">
        <w:rPr>
          <w:bCs/>
        </w:rPr>
        <w:t>tion</w:t>
      </w:r>
      <w:r>
        <w:rPr>
          <w:bCs/>
        </w:rPr>
        <w:t>;</w:t>
      </w:r>
    </w:p>
    <w:p w:rsidR="00F51F5C" w:rsidP="00F51F5C" w:rsidRDefault="00015540" w14:paraId="2871703E" w14:textId="40A62DA3">
      <w:pPr>
        <w:pStyle w:val="BodyText"/>
        <w:numPr>
          <w:ilvl w:val="0"/>
          <w:numId w:val="27"/>
        </w:numPr>
        <w:spacing w:after="0"/>
        <w:rPr>
          <w:bCs/>
        </w:rPr>
      </w:pPr>
      <w:r w:rsidRPr="00FB709F">
        <w:rPr>
          <w:bCs/>
        </w:rPr>
        <w:t xml:space="preserve">Activities of monitoring and </w:t>
      </w:r>
      <w:r w:rsidR="00A3526E">
        <w:rPr>
          <w:bCs/>
        </w:rPr>
        <w:t>p</w:t>
      </w:r>
      <w:r w:rsidRPr="00FB709F">
        <w:rPr>
          <w:bCs/>
        </w:rPr>
        <w:t xml:space="preserve">ollution control for </w:t>
      </w:r>
      <w:r w:rsidRPr="00FB709F" w:rsidR="008F3AB2">
        <w:rPr>
          <w:bCs/>
        </w:rPr>
        <w:t xml:space="preserve">implementing </w:t>
      </w:r>
      <w:proofErr w:type="spellStart"/>
      <w:r w:rsidRPr="00FB709F">
        <w:rPr>
          <w:bCs/>
        </w:rPr>
        <w:t>P</w:t>
      </w:r>
      <w:r w:rsidR="00F51F5C">
        <w:rPr>
          <w:bCs/>
        </w:rPr>
        <w:t>RTR</w:t>
      </w:r>
      <w:proofErr w:type="spellEnd"/>
      <w:r w:rsidR="00F51F5C">
        <w:rPr>
          <w:bCs/>
        </w:rPr>
        <w:t>;</w:t>
      </w:r>
    </w:p>
    <w:p w:rsidR="00F51F5C" w:rsidP="00F51F5C" w:rsidRDefault="00015540" w14:paraId="54612F11" w14:textId="23873FED">
      <w:pPr>
        <w:pStyle w:val="BodyText"/>
        <w:numPr>
          <w:ilvl w:val="0"/>
          <w:numId w:val="27"/>
        </w:numPr>
        <w:spacing w:after="0"/>
        <w:rPr>
          <w:bCs/>
        </w:rPr>
      </w:pPr>
      <w:r w:rsidRPr="00FB709F">
        <w:rPr>
          <w:bCs/>
        </w:rPr>
        <w:t xml:space="preserve">Analysis of </w:t>
      </w:r>
      <w:r w:rsidR="00350337">
        <w:rPr>
          <w:bCs/>
        </w:rPr>
        <w:t>Persistent Organic Pollutants (</w:t>
      </w:r>
      <w:r w:rsidRPr="00FB709F">
        <w:rPr>
          <w:bCs/>
        </w:rPr>
        <w:t>POP</w:t>
      </w:r>
      <w:r w:rsidR="00350337">
        <w:rPr>
          <w:bCs/>
        </w:rPr>
        <w:t>)</w:t>
      </w:r>
      <w:r w:rsidRPr="00FB709F">
        <w:rPr>
          <w:bCs/>
        </w:rPr>
        <w:t xml:space="preserve"> and chemical substances in general, as well as process for gathering and analyz</w:t>
      </w:r>
      <w:r w:rsidR="00F51F5C">
        <w:rPr>
          <w:bCs/>
        </w:rPr>
        <w:t>ing toxicological information;</w:t>
      </w:r>
    </w:p>
    <w:p w:rsidR="00F51F5C" w:rsidP="00F51F5C" w:rsidRDefault="00015540" w14:paraId="679ECA1F" w14:textId="77777777">
      <w:pPr>
        <w:pStyle w:val="BodyText"/>
        <w:numPr>
          <w:ilvl w:val="0"/>
          <w:numId w:val="27"/>
        </w:numPr>
        <w:spacing w:after="0"/>
        <w:rPr>
          <w:bCs/>
        </w:rPr>
      </w:pPr>
      <w:r w:rsidRPr="00FB709F">
        <w:rPr>
          <w:bCs/>
        </w:rPr>
        <w:t>Enforceme</w:t>
      </w:r>
      <w:r w:rsidR="00F51F5C">
        <w:rPr>
          <w:bCs/>
        </w:rPr>
        <w:t>nt and inspection regimes;</w:t>
      </w:r>
    </w:p>
    <w:p w:rsidR="00F51F5C" w:rsidP="00F51F5C" w:rsidRDefault="00015540" w14:paraId="3F94893F" w14:textId="77777777">
      <w:pPr>
        <w:pStyle w:val="BodyText"/>
        <w:numPr>
          <w:ilvl w:val="0"/>
          <w:numId w:val="27"/>
        </w:numPr>
        <w:spacing w:after="0"/>
        <w:rPr>
          <w:bCs/>
        </w:rPr>
      </w:pPr>
      <w:r w:rsidRPr="00FB709F">
        <w:rPr>
          <w:bCs/>
        </w:rPr>
        <w:t>Programs to p</w:t>
      </w:r>
      <w:r w:rsidR="00F51F5C">
        <w:rPr>
          <w:bCs/>
        </w:rPr>
        <w:t>revent chemical accidents;</w:t>
      </w:r>
    </w:p>
    <w:p w:rsidR="00F51F5C" w:rsidP="00F51F5C" w:rsidRDefault="00015540" w14:paraId="514456FB" w14:textId="77777777">
      <w:pPr>
        <w:pStyle w:val="BodyText"/>
        <w:numPr>
          <w:ilvl w:val="0"/>
          <w:numId w:val="27"/>
        </w:numPr>
        <w:spacing w:after="0"/>
        <w:rPr>
          <w:bCs/>
        </w:rPr>
      </w:pPr>
      <w:r w:rsidRPr="00FB709F">
        <w:rPr>
          <w:bCs/>
        </w:rPr>
        <w:t>Strategies for communication an</w:t>
      </w:r>
      <w:r w:rsidR="00F51F5C">
        <w:rPr>
          <w:bCs/>
        </w:rPr>
        <w:t>d awareness;</w:t>
      </w:r>
    </w:p>
    <w:p w:rsidR="00F51F5C" w:rsidP="00F51F5C" w:rsidRDefault="00ED3964" w14:paraId="596BC131" w14:textId="77777777">
      <w:pPr>
        <w:pStyle w:val="BodyText"/>
        <w:numPr>
          <w:ilvl w:val="0"/>
          <w:numId w:val="27"/>
        </w:numPr>
        <w:spacing w:after="0"/>
        <w:rPr>
          <w:bCs/>
        </w:rPr>
      </w:pPr>
      <w:r w:rsidRPr="00FB709F">
        <w:rPr>
          <w:bCs/>
        </w:rPr>
        <w:t>Processes for stakeholder consultation</w:t>
      </w:r>
      <w:r w:rsidRPr="00FB709F" w:rsidR="00C61CD7">
        <w:rPr>
          <w:bCs/>
        </w:rPr>
        <w:t xml:space="preserve"> and its linkage to decision making</w:t>
      </w:r>
      <w:r w:rsidR="00F51F5C">
        <w:rPr>
          <w:bCs/>
        </w:rPr>
        <w:t>;</w:t>
      </w:r>
    </w:p>
    <w:p w:rsidR="00F51F5C" w:rsidP="00F51F5C" w:rsidRDefault="00F51F5C" w14:paraId="565133CF" w14:textId="4246E1E4">
      <w:pPr>
        <w:pStyle w:val="BodyText"/>
        <w:numPr>
          <w:ilvl w:val="0"/>
          <w:numId w:val="27"/>
        </w:numPr>
        <w:spacing w:after="0"/>
        <w:rPr>
          <w:bCs/>
        </w:rPr>
      </w:pPr>
      <w:r>
        <w:rPr>
          <w:bCs/>
        </w:rPr>
        <w:t>Platforms of information; and</w:t>
      </w:r>
    </w:p>
    <w:p w:rsidR="009F3639" w:rsidP="00F51F5C" w:rsidRDefault="00ED3964" w14:paraId="5A54E17C" w14:textId="043D648B">
      <w:pPr>
        <w:pStyle w:val="BodyText"/>
        <w:numPr>
          <w:ilvl w:val="0"/>
          <w:numId w:val="27"/>
        </w:numPr>
        <w:spacing w:after="0"/>
        <w:rPr>
          <w:bCs/>
        </w:rPr>
      </w:pPr>
      <w:r w:rsidRPr="00FB709F">
        <w:rPr>
          <w:bCs/>
        </w:rPr>
        <w:t>Criteria and procedures for the assessment of public policies.</w:t>
      </w:r>
    </w:p>
    <w:p w:rsidRPr="00F9623D" w:rsidR="009F3639" w:rsidP="009F3639" w:rsidRDefault="009F3639" w14:paraId="5A54E17D" w14:textId="77777777">
      <w:pPr>
        <w:pStyle w:val="BodyText"/>
        <w:spacing w:after="0"/>
        <w:ind w:firstLine="0"/>
        <w:rPr>
          <w:bCs/>
        </w:rPr>
      </w:pPr>
    </w:p>
    <w:p w:rsidRPr="00720325" w:rsidR="005B65F2" w:rsidP="00720325" w:rsidRDefault="00B04D46" w14:paraId="5A54E185" w14:textId="4FF34E94">
      <w:pPr>
        <w:pStyle w:val="Heading2"/>
        <w:tabs>
          <w:tab w:val="clear" w:pos="1440"/>
          <w:tab w:val="num" w:pos="540"/>
        </w:tabs>
        <w:ind w:left="0" w:firstLine="0"/>
        <w:rPr>
          <w:b/>
        </w:rPr>
      </w:pPr>
      <w:bookmarkStart w:name="_Toc55375562" w:id="7"/>
      <w:r w:rsidRPr="00720325">
        <w:rPr>
          <w:b/>
        </w:rPr>
        <w:t>Regional Cooperation</w:t>
      </w:r>
      <w:bookmarkEnd w:id="7"/>
      <w:r w:rsidRPr="00720325" w:rsidR="00EE2EEA">
        <w:rPr>
          <w:b/>
        </w:rPr>
        <w:t xml:space="preserve"> </w:t>
      </w:r>
    </w:p>
    <w:p w:rsidRPr="00720325" w:rsidR="00E60021" w:rsidP="00720325" w:rsidRDefault="0026436F" w14:paraId="5A54E186" w14:textId="3A092415">
      <w:pPr>
        <w:pStyle w:val="Heading3"/>
        <w:tabs>
          <w:tab w:val="clear" w:pos="2160"/>
          <w:tab w:val="num" w:pos="540"/>
        </w:tabs>
        <w:ind w:left="540" w:hanging="540"/>
        <w:rPr>
          <w:b/>
        </w:rPr>
      </w:pPr>
      <w:bookmarkStart w:name="_Toc55375563" w:id="8"/>
      <w:r w:rsidRPr="00720325">
        <w:rPr>
          <w:b/>
          <w:u w:val="single"/>
        </w:rPr>
        <w:t>United States-Mexico-</w:t>
      </w:r>
      <w:r w:rsidRPr="00720325" w:rsidR="00E60021">
        <w:rPr>
          <w:b/>
          <w:u w:val="single"/>
        </w:rPr>
        <w:t>Canada Agreement</w:t>
      </w:r>
      <w:r w:rsidRPr="00720325" w:rsidR="00720325">
        <w:rPr>
          <w:b/>
        </w:rPr>
        <w:t xml:space="preserve">: </w:t>
      </w:r>
      <w:r w:rsidRPr="00720325" w:rsidR="00E60021">
        <w:rPr>
          <w:b/>
        </w:rPr>
        <w:t>Provisions on regulatory coope</w:t>
      </w:r>
      <w:r w:rsidRPr="00720325" w:rsidR="00720325">
        <w:rPr>
          <w:b/>
        </w:rPr>
        <w:t>ration for chemical substances</w:t>
      </w:r>
      <w:bookmarkEnd w:id="8"/>
    </w:p>
    <w:p w:rsidR="000921A4" w:rsidP="000921A4" w:rsidRDefault="000921A4" w14:paraId="4BF9D3DB" w14:textId="1209BE76">
      <w:r>
        <w:t>The United States-Mexico-Canada Agreement (</w:t>
      </w:r>
      <w:proofErr w:type="spellStart"/>
      <w:r>
        <w:t>USMCA</w:t>
      </w:r>
      <w:proofErr w:type="spellEnd"/>
      <w:r>
        <w:t xml:space="preserve">, but also known as </w:t>
      </w:r>
      <w:proofErr w:type="spellStart"/>
      <w:r>
        <w:t>CUSMA</w:t>
      </w:r>
      <w:proofErr w:type="spellEnd"/>
      <w:r>
        <w:t xml:space="preserve"> in Canada and T-</w:t>
      </w:r>
      <w:proofErr w:type="spellStart"/>
      <w:r>
        <w:t>MEC</w:t>
      </w:r>
      <w:proofErr w:type="spellEnd"/>
      <w:r>
        <w:t xml:space="preserve"> in Mexico) entered into force on July 1, 2020. This agreement contains a number of industry-specific provisions in the Sectoral Annexes Chapter (See </w:t>
      </w:r>
      <w:hyperlink w:history="1" r:id="rId10">
        <w:r>
          <w:rPr>
            <w:rStyle w:val="Hyperlink"/>
          </w:rPr>
          <w:t>Cha</w:t>
        </w:r>
        <w:r>
          <w:rPr>
            <w:rStyle w:val="Hyperlink"/>
          </w:rPr>
          <w:t>p</w:t>
        </w:r>
        <w:r>
          <w:rPr>
            <w:rStyle w:val="Hyperlink"/>
          </w:rPr>
          <w:t>ter 12</w:t>
        </w:r>
      </w:hyperlink>
      <w:r>
        <w:t>). The first annex concerns “Chemical Substances.” The provisions are divided into four sections: 1. Definitions; 2) Scope; 3) Competent Authorities; 4) Enhancing Regulatory Compatibility; and 5) Data and Information Exchange. They outline specific areas of cooperation (e.g.</w:t>
      </w:r>
      <w:r w:rsidR="00F51F5C">
        <w:t>,</w:t>
      </w:r>
      <w:r>
        <w:t xml:space="preserve"> GHS alignment, data sharing, protection of confidential business information, development of chemical inventories, risk assessment, and scientific criteria) where regulators could create efficiency gains in their regulatory work and avoid duplication of effort and resources. They also obligate the parties to the agreement to “share any available data or assessments on </w:t>
      </w:r>
      <w:r w:rsidRPr="000921A4">
        <w:t>particular</w:t>
      </w:r>
      <w:r>
        <w:t xml:space="preserve"> chemical substances” and “adopt or maintain procedures to prevent the disclosure of confidential information that appears in the data or assessments.” Above all, these provisions preserve the rights of the governments to regulate to protect human health and safety and the environment. </w:t>
      </w:r>
    </w:p>
    <w:p w:rsidR="00E60021" w:rsidP="00EE2EEA" w:rsidRDefault="00E60021" w14:paraId="5A54E189" w14:textId="77777777">
      <w:pPr>
        <w:pStyle w:val="BodyText"/>
        <w:spacing w:after="0"/>
        <w:ind w:firstLine="0"/>
        <w:rPr>
          <w:bCs/>
          <w:u w:val="single"/>
        </w:rPr>
      </w:pPr>
    </w:p>
    <w:p w:rsidRPr="00F51F5C" w:rsidR="00E60021" w:rsidP="00E60021" w:rsidRDefault="00E60021" w14:paraId="5A54E18A" w14:textId="77777777">
      <w:pPr>
        <w:pStyle w:val="BodyText"/>
        <w:ind w:firstLine="0"/>
        <w:rPr>
          <w:b/>
          <w:i/>
        </w:rPr>
      </w:pPr>
      <w:r w:rsidRPr="00F51F5C">
        <w:rPr>
          <w:b/>
          <w:i/>
        </w:rPr>
        <w:t xml:space="preserve">Best Practices: </w:t>
      </w:r>
    </w:p>
    <w:p w:rsidRPr="0026436F" w:rsidR="0026436F" w:rsidP="0026436F" w:rsidRDefault="00F51F5C" w14:paraId="2DF5AFAD" w14:textId="42186BBA">
      <w:pPr>
        <w:pStyle w:val="ListParagraph"/>
        <w:ind w:left="0"/>
      </w:pPr>
      <w:r>
        <w:t xml:space="preserve">The </w:t>
      </w:r>
      <w:proofErr w:type="spellStart"/>
      <w:r>
        <w:t>USMCA</w:t>
      </w:r>
      <w:proofErr w:type="spellEnd"/>
      <w:r>
        <w:t xml:space="preserve"> Sectoral Annex for Chemical Substances will r</w:t>
      </w:r>
      <w:r w:rsidRPr="0026436F" w:rsidR="001C13A8">
        <w:t>educe red tape for trade in chemicals and generate efficiencies for regulators</w:t>
      </w:r>
      <w:r w:rsidR="00194F69">
        <w:t xml:space="preserve"> by</w:t>
      </w:r>
      <w:r w:rsidRPr="0026436F" w:rsidR="001C13A8">
        <w:t>:</w:t>
      </w:r>
    </w:p>
    <w:p w:rsidRPr="0026436F" w:rsidR="0026436F" w:rsidP="0026436F" w:rsidRDefault="00194F69" w14:paraId="7E9A54C6" w14:textId="07A6CB4F">
      <w:pPr>
        <w:pStyle w:val="ListParagraph"/>
        <w:numPr>
          <w:ilvl w:val="0"/>
          <w:numId w:val="21"/>
        </w:numPr>
      </w:pPr>
      <w:r>
        <w:t>Making</w:t>
      </w:r>
      <w:r w:rsidRPr="0026436F" w:rsidR="001C13A8">
        <w:t xml:space="preserve"> efforts to align risk assessment methodologies and risk management measures for chemical substances; </w:t>
      </w:r>
    </w:p>
    <w:p w:rsidRPr="0026436F" w:rsidR="0026436F" w:rsidP="0026436F" w:rsidRDefault="00194F69" w14:paraId="10185BF2" w14:textId="7499E263">
      <w:pPr>
        <w:pStyle w:val="ListParagraph"/>
        <w:numPr>
          <w:ilvl w:val="0"/>
          <w:numId w:val="21"/>
        </w:numPr>
      </w:pPr>
      <w:r>
        <w:t>Minimizing</w:t>
      </w:r>
      <w:r w:rsidRPr="0026436F" w:rsidR="001C13A8">
        <w:t xml:space="preserve"> unnecessary economic barriers or impediments to technological innovation; and </w:t>
      </w:r>
    </w:p>
    <w:p w:rsidRPr="0026436F" w:rsidR="001C13A8" w:rsidP="0026436F" w:rsidRDefault="00194F69" w14:paraId="43FA2F7D" w14:textId="3564CBDC">
      <w:pPr>
        <w:pStyle w:val="ListParagraph"/>
        <w:numPr>
          <w:ilvl w:val="0"/>
          <w:numId w:val="21"/>
        </w:numPr>
      </w:pPr>
      <w:r>
        <w:lastRenderedPageBreak/>
        <w:t>Where appropriate, using</w:t>
      </w:r>
      <w:r w:rsidRPr="0026436F" w:rsidR="001C13A8">
        <w:t xml:space="preserve"> a risk-based approach to the assessment of chemicals.</w:t>
      </w:r>
    </w:p>
    <w:p w:rsidR="00E60021" w:rsidP="00EE2EEA" w:rsidRDefault="00E60021" w14:paraId="5A54E18C" w14:textId="77777777">
      <w:pPr>
        <w:pStyle w:val="BodyText"/>
        <w:spacing w:after="0"/>
        <w:ind w:firstLine="0"/>
        <w:rPr>
          <w:bCs/>
          <w:u w:val="single"/>
        </w:rPr>
      </w:pPr>
    </w:p>
    <w:p w:rsidRPr="00720325" w:rsidR="000E1F50" w:rsidP="00720325" w:rsidRDefault="00770CB2" w14:paraId="5A54E18E" w14:textId="0866552D">
      <w:pPr>
        <w:pStyle w:val="Heading3"/>
        <w:tabs>
          <w:tab w:val="clear" w:pos="2160"/>
          <w:tab w:val="num" w:pos="540"/>
        </w:tabs>
        <w:ind w:left="0" w:firstLine="0"/>
        <w:rPr>
          <w:b/>
          <w:u w:val="single"/>
        </w:rPr>
      </w:pPr>
      <w:bookmarkStart w:name="_Toc55375564" w:id="9"/>
      <w:r w:rsidRPr="00720325">
        <w:rPr>
          <w:b/>
          <w:u w:val="single"/>
        </w:rPr>
        <w:t xml:space="preserve">ASEAN - </w:t>
      </w:r>
      <w:r w:rsidRPr="00720325" w:rsidR="006D6CDE">
        <w:rPr>
          <w:b/>
          <w:u w:val="single"/>
        </w:rPr>
        <w:t>Japan Chemical Safety Database</w:t>
      </w:r>
      <w:bookmarkEnd w:id="9"/>
      <w:r w:rsidRPr="00720325" w:rsidR="006D6CDE">
        <w:rPr>
          <w:b/>
          <w:u w:val="single"/>
        </w:rPr>
        <w:t xml:space="preserve"> </w:t>
      </w:r>
    </w:p>
    <w:p w:rsidR="007F7BBC" w:rsidP="007F7BBC" w:rsidRDefault="00F921FF" w14:paraId="30676806" w14:textId="77777777">
      <w:pPr>
        <w:pStyle w:val="BodyText"/>
        <w:spacing w:after="0"/>
        <w:ind w:firstLine="0"/>
        <w:rPr>
          <w:bCs/>
        </w:rPr>
      </w:pPr>
      <w:hyperlink w:history="1" r:id="rId11">
        <w:r w:rsidRPr="00ED6778" w:rsidR="007F7BBC">
          <w:rPr>
            <w:rStyle w:val="Hyperlink"/>
            <w:bCs/>
          </w:rPr>
          <w:t>The ASEAN – Japan</w:t>
        </w:r>
        <w:r w:rsidRPr="00ED6778" w:rsidR="007F7BBC">
          <w:rPr>
            <w:rStyle w:val="Hyperlink"/>
            <w:bCs/>
          </w:rPr>
          <w:t xml:space="preserve"> </w:t>
        </w:r>
        <w:r w:rsidRPr="00ED6778" w:rsidR="007F7BBC">
          <w:rPr>
            <w:rStyle w:val="Hyperlink"/>
            <w:bCs/>
          </w:rPr>
          <w:t>Chemical Safety Database</w:t>
        </w:r>
      </w:hyperlink>
      <w:r w:rsidRPr="004550B8" w:rsidR="007F7BBC">
        <w:rPr>
          <w:bCs/>
        </w:rPr>
        <w:t xml:space="preserve"> is a free database that includes che</w:t>
      </w:r>
      <w:r w:rsidR="007F7BBC">
        <w:rPr>
          <w:bCs/>
        </w:rPr>
        <w:t xml:space="preserve">mical regulatory information, </w:t>
      </w:r>
      <w:r w:rsidRPr="004550B8" w:rsidR="007F7BBC">
        <w:rPr>
          <w:bCs/>
        </w:rPr>
        <w:t xml:space="preserve">Globally Harmonized System of Classification and Labelling of Chemicals (or GHS) </w:t>
      </w:r>
      <w:r w:rsidR="007F7BBC">
        <w:rPr>
          <w:bCs/>
        </w:rPr>
        <w:t>classification results, and</w:t>
      </w:r>
      <w:r w:rsidRPr="004550B8" w:rsidR="007F7BBC">
        <w:rPr>
          <w:bCs/>
        </w:rPr>
        <w:t xml:space="preserve"> risk and hazard information, among other issues</w:t>
      </w:r>
      <w:r w:rsidR="007F7BBC">
        <w:rPr>
          <w:bCs/>
        </w:rPr>
        <w:t>. The purpose of the Database</w:t>
      </w:r>
      <w:r w:rsidRPr="0037604B" w:rsidR="007F7BBC">
        <w:rPr>
          <w:bCs/>
        </w:rPr>
        <w:t xml:space="preserve"> is to enhance transparency and to reduce compliance risk</w:t>
      </w:r>
      <w:r w:rsidR="007F7BBC">
        <w:rPr>
          <w:bCs/>
        </w:rPr>
        <w:t xml:space="preserve"> on chemical safety among the participant countries, including </w:t>
      </w:r>
      <w:r w:rsidRPr="0037604B" w:rsidR="007F7BBC">
        <w:rPr>
          <w:bCs/>
        </w:rPr>
        <w:t>ASEAN countries and Japan</w:t>
      </w:r>
      <w:r w:rsidR="007F7BBC">
        <w:rPr>
          <w:bCs/>
        </w:rPr>
        <w:t xml:space="preserve">. </w:t>
      </w:r>
    </w:p>
    <w:p w:rsidR="007F7BBC" w:rsidP="007F7BBC" w:rsidRDefault="007F7BBC" w14:paraId="0A0E77D6" w14:textId="77777777">
      <w:pPr>
        <w:pStyle w:val="BodyText"/>
        <w:spacing w:after="0"/>
        <w:ind w:firstLine="0"/>
        <w:rPr>
          <w:bCs/>
        </w:rPr>
      </w:pPr>
    </w:p>
    <w:p w:rsidR="007F7BBC" w:rsidP="007F7BBC" w:rsidRDefault="007F7BBC" w14:paraId="6818156C" w14:textId="77777777">
      <w:pPr>
        <w:pStyle w:val="BodyText"/>
        <w:spacing w:after="0"/>
        <w:ind w:firstLine="0"/>
        <w:rPr>
          <w:bCs/>
        </w:rPr>
      </w:pPr>
      <w:r w:rsidRPr="000E1F50">
        <w:rPr>
          <w:bCs/>
        </w:rPr>
        <w:t>Government authorities of each member country provide the regulatory information and GHS classification results</w:t>
      </w:r>
      <w:r>
        <w:rPr>
          <w:bCs/>
        </w:rPr>
        <w:t xml:space="preserve"> for the database</w:t>
      </w:r>
      <w:r w:rsidRPr="000E1F50">
        <w:rPr>
          <w:bCs/>
        </w:rPr>
        <w:t>. Sample</w:t>
      </w:r>
      <w:r>
        <w:rPr>
          <w:bCs/>
        </w:rPr>
        <w:t xml:space="preserve"> Safety Data Sheets (</w:t>
      </w:r>
      <w:proofErr w:type="spellStart"/>
      <w:r w:rsidRPr="000E1F50">
        <w:rPr>
          <w:bCs/>
        </w:rPr>
        <w:t>SDSs</w:t>
      </w:r>
      <w:proofErr w:type="spellEnd"/>
      <w:r>
        <w:rPr>
          <w:bCs/>
        </w:rPr>
        <w:t>)</w:t>
      </w:r>
      <w:r w:rsidRPr="000E1F50">
        <w:rPr>
          <w:bCs/>
        </w:rPr>
        <w:t xml:space="preserve"> </w:t>
      </w:r>
      <w:r w:rsidRPr="00E8053E">
        <w:rPr>
          <w:bCs/>
        </w:rPr>
        <w:t xml:space="preserve">and Labelling </w:t>
      </w:r>
      <w:r w:rsidRPr="000E1F50">
        <w:rPr>
          <w:bCs/>
        </w:rPr>
        <w:t xml:space="preserve">are voluntarily provided </w:t>
      </w:r>
      <w:r w:rsidRPr="00E8053E">
        <w:rPr>
          <w:bCs/>
        </w:rPr>
        <w:t>through member countries</w:t>
      </w:r>
      <w:r w:rsidRPr="000E1F50">
        <w:rPr>
          <w:bCs/>
        </w:rPr>
        <w:t xml:space="preserve">. </w:t>
      </w:r>
      <w:r>
        <w:rPr>
          <w:bCs/>
        </w:rPr>
        <w:t>The database is managed by the National Institute of Technology and Evaluation (</w:t>
      </w:r>
      <w:proofErr w:type="spellStart"/>
      <w:r>
        <w:rPr>
          <w:bCs/>
        </w:rPr>
        <w:t>NITE</w:t>
      </w:r>
      <w:proofErr w:type="spellEnd"/>
      <w:r>
        <w:rPr>
          <w:bCs/>
        </w:rPr>
        <w:t xml:space="preserve">) in Japan. </w:t>
      </w:r>
    </w:p>
    <w:p w:rsidR="007F7BBC" w:rsidP="007F7BBC" w:rsidRDefault="007F7BBC" w14:paraId="7EFAB16A" w14:textId="77777777">
      <w:pPr>
        <w:pStyle w:val="BodyText"/>
        <w:spacing w:after="0"/>
        <w:ind w:firstLine="0"/>
        <w:rPr>
          <w:bCs/>
        </w:rPr>
      </w:pPr>
    </w:p>
    <w:p w:rsidR="007F7BBC" w:rsidP="007F7BBC" w:rsidRDefault="007F7BBC" w14:paraId="72751FE6" w14:textId="42319723">
      <w:pPr>
        <w:pStyle w:val="BodyText"/>
        <w:spacing w:after="0"/>
        <w:ind w:firstLine="0"/>
        <w:rPr>
          <w:bCs/>
        </w:rPr>
      </w:pPr>
      <w:r w:rsidRPr="00711BFE">
        <w:rPr>
          <w:bCs/>
        </w:rPr>
        <w:t>"Top page"</w:t>
      </w:r>
      <w:r>
        <w:rPr>
          <w:bCs/>
        </w:rPr>
        <w:t xml:space="preserve"> and </w:t>
      </w:r>
      <w:r w:rsidRPr="00711BFE">
        <w:rPr>
          <w:bCs/>
        </w:rPr>
        <w:t>"Search (multilingual)" are available in 9 languages including ASEAN local languages</w:t>
      </w:r>
      <w:r>
        <w:rPr>
          <w:bCs/>
        </w:rPr>
        <w:t xml:space="preserve"> (</w:t>
      </w:r>
      <w:r w:rsidRPr="00433CAD">
        <w:rPr>
          <w:bCs/>
        </w:rPr>
        <w:t>B</w:t>
      </w:r>
      <w:r w:rsidR="003F2DD0">
        <w:rPr>
          <w:bCs/>
        </w:rPr>
        <w:t>urmese</w:t>
      </w:r>
      <w:r w:rsidRPr="00433CAD">
        <w:rPr>
          <w:bCs/>
        </w:rPr>
        <w:t>, English, Indonesian, Japanese, Khmer, Lao, Malay, Standard Thai,</w:t>
      </w:r>
      <w:r>
        <w:rPr>
          <w:bCs/>
        </w:rPr>
        <w:t xml:space="preserve"> </w:t>
      </w:r>
      <w:r w:rsidRPr="00433CAD">
        <w:rPr>
          <w:bCs/>
        </w:rPr>
        <w:t>Vietnamese</w:t>
      </w:r>
      <w:r>
        <w:rPr>
          <w:bCs/>
        </w:rPr>
        <w:t>)</w:t>
      </w:r>
      <w:r w:rsidRPr="00711BFE">
        <w:rPr>
          <w:bCs/>
        </w:rPr>
        <w:t xml:space="preserve">. The substance list, </w:t>
      </w:r>
      <w:r>
        <w:rPr>
          <w:bCs/>
        </w:rPr>
        <w:t>hazard</w:t>
      </w:r>
      <w:r w:rsidRPr="00711BFE">
        <w:rPr>
          <w:bCs/>
        </w:rPr>
        <w:t xml:space="preserve"> information of each substance and legal and regulatory information of each economy are </w:t>
      </w:r>
      <w:r>
        <w:rPr>
          <w:bCs/>
        </w:rPr>
        <w:t>available</w:t>
      </w:r>
      <w:r w:rsidRPr="00711BFE">
        <w:rPr>
          <w:bCs/>
        </w:rPr>
        <w:t xml:space="preserve"> in English.</w:t>
      </w:r>
    </w:p>
    <w:p w:rsidR="007F7BBC" w:rsidP="007F7BBC" w:rsidRDefault="007F7BBC" w14:paraId="1255A614" w14:textId="77777777">
      <w:pPr>
        <w:jc w:val="both"/>
        <w:rPr>
          <w:b/>
        </w:rPr>
      </w:pPr>
    </w:p>
    <w:p w:rsidR="007F7BBC" w:rsidP="007F7BBC" w:rsidRDefault="007F7BBC" w14:paraId="42DC1F3E" w14:textId="0450F775">
      <w:pPr>
        <w:jc w:val="both"/>
        <w:rPr>
          <w:b/>
        </w:rPr>
      </w:pPr>
      <w:r w:rsidRPr="00B61E0C">
        <w:rPr>
          <w:b/>
        </w:rPr>
        <w:t>Best Practices:</w:t>
      </w:r>
    </w:p>
    <w:p w:rsidR="00194F69" w:rsidP="00194F69" w:rsidRDefault="007F7BBC" w14:paraId="24CED334" w14:textId="77777777">
      <w:pPr>
        <w:pStyle w:val="BodyText"/>
        <w:numPr>
          <w:ilvl w:val="0"/>
          <w:numId w:val="28"/>
        </w:numPr>
        <w:spacing w:after="0"/>
        <w:rPr>
          <w:bCs/>
        </w:rPr>
      </w:pPr>
      <w:r w:rsidRPr="00207993">
        <w:rPr>
          <w:bCs/>
        </w:rPr>
        <w:t>Sharing information of laws and regu</w:t>
      </w:r>
      <w:r w:rsidRPr="00207993">
        <w:rPr>
          <w:rFonts w:eastAsia="MS Mincho" w:cstheme="minorHAnsi"/>
          <w:bCs/>
          <w:lang w:eastAsia="ja-JP"/>
        </w:rPr>
        <w:t>l</w:t>
      </w:r>
      <w:r w:rsidRPr="00207993">
        <w:rPr>
          <w:rFonts w:cstheme="minorHAnsi"/>
          <w:bCs/>
        </w:rPr>
        <w:t>atio</w:t>
      </w:r>
      <w:r w:rsidRPr="00207993">
        <w:rPr>
          <w:bCs/>
        </w:rPr>
        <w:t xml:space="preserve">ns </w:t>
      </w:r>
      <w:r>
        <w:rPr>
          <w:bCs/>
        </w:rPr>
        <w:t>concerning</w:t>
      </w:r>
      <w:r w:rsidRPr="00207993">
        <w:rPr>
          <w:bCs/>
        </w:rPr>
        <w:t xml:space="preserve"> chemicals management and </w:t>
      </w:r>
      <w:r>
        <w:rPr>
          <w:bCs/>
        </w:rPr>
        <w:t xml:space="preserve">of the </w:t>
      </w:r>
      <w:r w:rsidRPr="00207993">
        <w:rPr>
          <w:bCs/>
        </w:rPr>
        <w:t xml:space="preserve">classification of </w:t>
      </w:r>
      <w:r>
        <w:rPr>
          <w:bCs/>
        </w:rPr>
        <w:t xml:space="preserve">chemicals based on </w:t>
      </w:r>
      <w:r w:rsidRPr="00207993">
        <w:rPr>
          <w:bCs/>
        </w:rPr>
        <w:t>GHS in each economy so each economy could gain a better understanding for each other’s regulatory systems and classification of chemicals.</w:t>
      </w:r>
    </w:p>
    <w:p w:rsidRPr="00194F69" w:rsidR="007E706F" w:rsidP="00194F69" w:rsidRDefault="007F7BBC" w14:paraId="5A54E19B" w14:textId="2D8938B3">
      <w:pPr>
        <w:pStyle w:val="BodyText"/>
        <w:numPr>
          <w:ilvl w:val="0"/>
          <w:numId w:val="28"/>
        </w:numPr>
        <w:spacing w:after="0"/>
        <w:rPr>
          <w:bCs/>
        </w:rPr>
      </w:pPr>
      <w:r w:rsidRPr="00194F69">
        <w:rPr>
          <w:rFonts w:eastAsia="MS Mincho"/>
          <w:bCs/>
          <w:lang w:eastAsia="ja-JP"/>
        </w:rPr>
        <w:t>Recognize and converge the classification of chemicals in each economy.</w:t>
      </w:r>
    </w:p>
    <w:p w:rsidR="006D6CDE" w:rsidP="00770CB2" w:rsidRDefault="006D6CDE" w14:paraId="5A54E19C" w14:textId="77777777">
      <w:pPr>
        <w:jc w:val="both"/>
        <w:rPr>
          <w:b/>
        </w:rPr>
      </w:pPr>
    </w:p>
    <w:p w:rsidRPr="00CC7B3B" w:rsidR="00765963" w:rsidP="00CC7B3B" w:rsidRDefault="006D6CDE" w14:paraId="5A54E19E" w14:textId="02D5C181">
      <w:pPr>
        <w:pStyle w:val="Heading3"/>
        <w:tabs>
          <w:tab w:val="clear" w:pos="2160"/>
          <w:tab w:val="num" w:pos="540"/>
        </w:tabs>
        <w:ind w:left="0" w:firstLine="0"/>
        <w:rPr>
          <w:b/>
          <w:u w:val="single"/>
        </w:rPr>
      </w:pPr>
      <w:bookmarkStart w:name="_Toc55375565" w:id="10"/>
      <w:r w:rsidRPr="00CC7B3B">
        <w:rPr>
          <w:b/>
          <w:u w:val="single"/>
        </w:rPr>
        <w:t>Pacific Alliance - Regulatory Cooperation Annexes</w:t>
      </w:r>
      <w:bookmarkEnd w:id="10"/>
      <w:r w:rsidRPr="00CC7B3B" w:rsidR="00770CB2">
        <w:rPr>
          <w:b/>
          <w:u w:val="single"/>
        </w:rPr>
        <w:t xml:space="preserve"> </w:t>
      </w:r>
    </w:p>
    <w:p w:rsidR="00765963" w:rsidP="00770CB2" w:rsidRDefault="00765963" w14:paraId="5A54E19F" w14:textId="77777777">
      <w:pPr>
        <w:jc w:val="both"/>
      </w:pPr>
      <w:r w:rsidRPr="00765963">
        <w:t xml:space="preserve">The </w:t>
      </w:r>
      <w:hyperlink w:history="1" r:id="rId12">
        <w:r w:rsidRPr="002168DA">
          <w:rPr>
            <w:rStyle w:val="Hyperlink"/>
          </w:rPr>
          <w:t>Pacific Alliance</w:t>
        </w:r>
      </w:hyperlink>
      <w:r w:rsidRPr="00765963">
        <w:t xml:space="preserve"> is a regional cooperation between C</w:t>
      </w:r>
      <w:r>
        <w:t>hile, Colombia, Mexico and Peru that was established in April 2011. Th</w:t>
      </w:r>
      <w:r w:rsidR="00A437B4">
        <w:t>e objective of the Alliance is</w:t>
      </w:r>
      <w:r>
        <w:t xml:space="preserve"> to build a deep integration </w:t>
      </w:r>
      <w:r w:rsidR="00A437B4">
        <w:t>between member countries</w:t>
      </w:r>
      <w:r w:rsidR="009378B5">
        <w:t xml:space="preserve"> to drive further growth, develop</w:t>
      </w:r>
      <w:r w:rsidR="00A437B4">
        <w:t xml:space="preserve">ment, and competitiveness to overcome socioeconomic inequality and promote the social inclusion of its inhabitants. </w:t>
      </w:r>
    </w:p>
    <w:p w:rsidR="002168DA" w:rsidP="00770CB2" w:rsidRDefault="002168DA" w14:paraId="5A54E1A0" w14:textId="77777777">
      <w:pPr>
        <w:jc w:val="both"/>
      </w:pPr>
    </w:p>
    <w:p w:rsidRPr="00765963" w:rsidR="002168DA" w:rsidP="00ED6778" w:rsidRDefault="00ED6778" w14:paraId="5A54E1A1" w14:textId="1B0FF229">
      <w:pPr>
        <w:jc w:val="both"/>
      </w:pPr>
      <w:r>
        <w:t>The Pacific Alliance Regulatory Cooperation Working Group and its Sub-Group o</w:t>
      </w:r>
      <w:r w:rsidR="007E706F">
        <w:t>n Technical Barriers to Trade are</w:t>
      </w:r>
      <w:r>
        <w:t xml:space="preserve"> responsible for ensuring that standards, technical regulations, and conformity assessment procedures do not become unnecessary obstacles to trade. To date, the Pacific Alliance has completed negotiations on five sectoral annexes: cosmetics, medical devices, food supplements, pharmaceutical products and organic products. The Alliance is currently negotiating an annex on household cleaning products, and in the last Presidential Declaration by the Pacific Alliance, signed on 6 July 2019 in Lima, Peru, an agreement was reached to consider initiating negotiations on a new sector on regulatory cooperation. </w:t>
      </w:r>
    </w:p>
    <w:p w:rsidR="00A741E0" w:rsidP="00770CB2" w:rsidRDefault="00A741E0" w14:paraId="5A54E1A2" w14:textId="77777777">
      <w:pPr>
        <w:jc w:val="both"/>
        <w:rPr>
          <w:b/>
        </w:rPr>
      </w:pPr>
    </w:p>
    <w:p w:rsidRPr="003B290F" w:rsidR="003B290F" w:rsidP="003B290F" w:rsidRDefault="003B290F" w14:paraId="25CD09A2" w14:textId="037FFA27">
      <w:pPr>
        <w:pStyle w:val="BodyText"/>
        <w:ind w:firstLine="0"/>
        <w:rPr>
          <w:bCs/>
        </w:rPr>
      </w:pPr>
      <w:r w:rsidRPr="003B290F">
        <w:rPr>
          <w:bCs/>
        </w:rPr>
        <w:t>In August 18, 2020, the Subgroup on Technical Barriers to Trade met in order to advance negotiation</w:t>
      </w:r>
      <w:r w:rsidR="004E6EAD">
        <w:rPr>
          <w:bCs/>
        </w:rPr>
        <w:t>s</w:t>
      </w:r>
      <w:r w:rsidRPr="003B290F">
        <w:rPr>
          <w:bCs/>
        </w:rPr>
        <w:t xml:space="preserve"> of the Annex for household cleaning products, taking into consideration the last letter sent by the industry dated August 4, 2020, reaching an agreement regarding pictograms labeling.</w:t>
      </w:r>
    </w:p>
    <w:p w:rsidRPr="003B290F" w:rsidR="003B290F" w:rsidP="003B290F" w:rsidRDefault="004C23DC" w14:paraId="3DE875C7" w14:textId="46D25019">
      <w:pPr>
        <w:pStyle w:val="BodyText"/>
        <w:ind w:firstLine="0"/>
        <w:rPr>
          <w:bCs/>
        </w:rPr>
      </w:pPr>
      <w:r>
        <w:rPr>
          <w:bCs/>
        </w:rPr>
        <w:t>T</w:t>
      </w:r>
      <w:r w:rsidRPr="003B290F" w:rsidR="003B290F">
        <w:rPr>
          <w:bCs/>
        </w:rPr>
        <w:t xml:space="preserve">he </w:t>
      </w:r>
      <w:proofErr w:type="spellStart"/>
      <w:r w:rsidRPr="003B290F" w:rsidR="003B290F">
        <w:rPr>
          <w:bCs/>
        </w:rPr>
        <w:t>NSO</w:t>
      </w:r>
      <w:proofErr w:type="spellEnd"/>
      <w:r w:rsidRPr="003B290F" w:rsidR="003B290F">
        <w:rPr>
          <w:bCs/>
        </w:rPr>
        <w:t xml:space="preserve"> Code or Sanitary Registration Number, is the only pending issue in the annex, the position of Chile, Colombia and Mexico is to support the industry proposal: "In those countries that currently </w:t>
      </w:r>
      <w:r w:rsidRPr="003B290F" w:rsidR="003B290F">
        <w:rPr>
          <w:bCs/>
        </w:rPr>
        <w:lastRenderedPageBreak/>
        <w:t xml:space="preserve">require </w:t>
      </w:r>
      <w:proofErr w:type="spellStart"/>
      <w:r w:rsidRPr="003B290F" w:rsidR="003B290F">
        <w:rPr>
          <w:bCs/>
        </w:rPr>
        <w:t>NSO</w:t>
      </w:r>
      <w:proofErr w:type="spellEnd"/>
      <w:r w:rsidRPr="003B290F" w:rsidR="003B290F">
        <w:rPr>
          <w:bCs/>
        </w:rPr>
        <w:t xml:space="preserve"> code or sanitary registration number, within a period of 3 years from the entry into force of this annex, requirement will be eliminated". The group is awaiting Peru´s position in the above matter </w:t>
      </w:r>
      <w:r w:rsidR="006375C6">
        <w:rPr>
          <w:bCs/>
        </w:rPr>
        <w:t xml:space="preserve">to </w:t>
      </w:r>
      <w:r w:rsidRPr="003B290F" w:rsidR="003B290F">
        <w:rPr>
          <w:bCs/>
        </w:rPr>
        <w:t xml:space="preserve">conclude the negotiation. </w:t>
      </w:r>
    </w:p>
    <w:p w:rsidRPr="003B290F" w:rsidR="003B290F" w:rsidP="003B290F" w:rsidRDefault="003B290F" w14:paraId="51D47BFC" w14:textId="5A678D38">
      <w:pPr>
        <w:pStyle w:val="BodyText"/>
        <w:ind w:firstLine="0"/>
        <w:rPr>
          <w:b/>
          <w:bCs/>
          <w:i/>
        </w:rPr>
      </w:pPr>
      <w:r w:rsidRPr="003B290F">
        <w:rPr>
          <w:b/>
          <w:bCs/>
          <w:i/>
        </w:rPr>
        <w:t xml:space="preserve">Best Practices: </w:t>
      </w:r>
    </w:p>
    <w:p w:rsidRPr="003B290F" w:rsidR="003B290F" w:rsidP="003B290F" w:rsidRDefault="003B290F" w14:paraId="5FA541AB" w14:textId="7F16F5F9">
      <w:pPr>
        <w:pStyle w:val="BodyText"/>
        <w:numPr>
          <w:ilvl w:val="0"/>
          <w:numId w:val="29"/>
        </w:numPr>
        <w:spacing w:after="0"/>
        <w:rPr>
          <w:bCs/>
        </w:rPr>
      </w:pPr>
      <w:r w:rsidRPr="003B290F">
        <w:rPr>
          <w:bCs/>
        </w:rPr>
        <w:t>Reduce trade transaction costs for household cleaning products</w:t>
      </w:r>
      <w:r w:rsidR="006375C6">
        <w:rPr>
          <w:bCs/>
        </w:rPr>
        <w:t>.</w:t>
      </w:r>
    </w:p>
    <w:p w:rsidRPr="003B290F" w:rsidR="003B290F" w:rsidP="003B290F" w:rsidRDefault="003B290F" w14:paraId="61D53621" w14:textId="77777777">
      <w:pPr>
        <w:pStyle w:val="BodyText"/>
        <w:numPr>
          <w:ilvl w:val="0"/>
          <w:numId w:val="29"/>
        </w:numPr>
        <w:spacing w:after="0"/>
        <w:rPr>
          <w:bCs/>
        </w:rPr>
      </w:pPr>
      <w:r w:rsidRPr="003B290F">
        <w:rPr>
          <w:bCs/>
        </w:rPr>
        <w:t>Facilitate commercial operations of their products among members.</w:t>
      </w:r>
    </w:p>
    <w:p w:rsidRPr="003B290F" w:rsidR="003B290F" w:rsidP="003B290F" w:rsidRDefault="003B290F" w14:paraId="4B8A773D" w14:textId="77777777">
      <w:pPr>
        <w:pStyle w:val="BodyText"/>
        <w:numPr>
          <w:ilvl w:val="0"/>
          <w:numId w:val="29"/>
        </w:numPr>
        <w:spacing w:after="0"/>
        <w:rPr>
          <w:bCs/>
        </w:rPr>
      </w:pPr>
      <w:r w:rsidRPr="003B290F">
        <w:rPr>
          <w:bCs/>
        </w:rPr>
        <w:t>Facilitate potential harmonization of technical requirements.</w:t>
      </w:r>
    </w:p>
    <w:p w:rsidRPr="003B290F" w:rsidR="003B290F" w:rsidP="003B290F" w:rsidRDefault="003B290F" w14:paraId="1A0D448A" w14:textId="77777777">
      <w:pPr>
        <w:pStyle w:val="BodyText"/>
        <w:numPr>
          <w:ilvl w:val="0"/>
          <w:numId w:val="29"/>
        </w:numPr>
        <w:spacing w:after="0"/>
        <w:rPr>
          <w:bCs/>
        </w:rPr>
      </w:pPr>
      <w:r w:rsidRPr="003B290F">
        <w:rPr>
          <w:bCs/>
        </w:rPr>
        <w:t xml:space="preserve">Eliminate requirements that do not comply with the appropriate compliance/enforcement actions. </w:t>
      </w:r>
    </w:p>
    <w:p w:rsidR="00402CE0" w:rsidP="00402CE0" w:rsidRDefault="00402CE0" w14:paraId="5A54E1A4" w14:textId="77777777">
      <w:pPr>
        <w:pStyle w:val="BodyText"/>
        <w:spacing w:after="0"/>
        <w:ind w:firstLine="0"/>
        <w:rPr>
          <w:bCs/>
        </w:rPr>
      </w:pPr>
    </w:p>
    <w:p w:rsidR="00194F69" w:rsidP="00402CE0" w:rsidRDefault="00194F69" w14:paraId="31320179" w14:textId="6953B646">
      <w:pPr>
        <w:pStyle w:val="BodyText"/>
        <w:spacing w:after="0"/>
        <w:ind w:firstLine="0"/>
        <w:rPr>
          <w:b/>
          <w:bCs/>
        </w:rPr>
      </w:pPr>
    </w:p>
    <w:p w:rsidR="00194F69" w:rsidP="00402CE0" w:rsidRDefault="00194F69" w14:paraId="77B802E3" w14:textId="77777777">
      <w:pPr>
        <w:pStyle w:val="BodyText"/>
        <w:spacing w:after="0"/>
        <w:ind w:firstLine="0"/>
        <w:rPr>
          <w:b/>
          <w:bCs/>
        </w:rPr>
      </w:pPr>
    </w:p>
    <w:p w:rsidRPr="00CC7B3B" w:rsidR="006D6CDE" w:rsidP="00CC7B3B" w:rsidRDefault="00770CB2" w14:paraId="5A54E1AC" w14:textId="2195DDA2">
      <w:pPr>
        <w:pStyle w:val="Heading3"/>
        <w:tabs>
          <w:tab w:val="clear" w:pos="2160"/>
          <w:tab w:val="num" w:pos="540"/>
        </w:tabs>
        <w:ind w:left="540" w:hanging="540"/>
        <w:rPr>
          <w:b/>
          <w:iCs/>
          <w:u w:val="single"/>
        </w:rPr>
      </w:pPr>
      <w:bookmarkStart w:name="_Toc55375566" w:id="11"/>
      <w:r w:rsidRPr="00CC7B3B">
        <w:rPr>
          <w:b/>
          <w:u w:val="single"/>
        </w:rPr>
        <w:t xml:space="preserve">Chinese </w:t>
      </w:r>
      <w:r w:rsidRPr="00CC7B3B" w:rsidR="006D6CDE">
        <w:rPr>
          <w:b/>
          <w:u w:val="single"/>
        </w:rPr>
        <w:t xml:space="preserve">Taipei </w:t>
      </w:r>
      <w:r w:rsidRPr="00CC7B3B" w:rsidR="00ED0B4D">
        <w:rPr>
          <w:b/>
          <w:u w:val="single"/>
        </w:rPr>
        <w:t>Institutional C</w:t>
      </w:r>
      <w:r w:rsidRPr="00CC7B3B">
        <w:rPr>
          <w:b/>
          <w:u w:val="single"/>
        </w:rPr>
        <w:t>ooperation with Japan and Korea</w:t>
      </w:r>
      <w:bookmarkEnd w:id="11"/>
      <w:r w:rsidRPr="00CC7B3B">
        <w:rPr>
          <w:b/>
          <w:color w:val="1F497D"/>
          <w:u w:val="single"/>
        </w:rPr>
        <w:t xml:space="preserve"> </w:t>
      </w:r>
    </w:p>
    <w:p w:rsidRPr="00FB709F" w:rsidR="00FB709F" w:rsidP="00FB709F" w:rsidRDefault="00FB709F" w14:paraId="560A5C02" w14:textId="0D57B73C">
      <w:r w:rsidRPr="00FB709F">
        <w:t>Aimed at enhancing regional cooperation and contribution to risk-based safe chemicals management system</w:t>
      </w:r>
      <w:r w:rsidR="00E4365A">
        <w:t>s</w:t>
      </w:r>
      <w:r w:rsidRPr="00FB709F">
        <w:t>, the National Institute of Technology and Evaluation (</w:t>
      </w:r>
      <w:proofErr w:type="spellStart"/>
      <w:r w:rsidRPr="00FB709F">
        <w:t>NITE</w:t>
      </w:r>
      <w:proofErr w:type="spellEnd"/>
      <w:r w:rsidRPr="00FB709F">
        <w:t>) of Japan</w:t>
      </w:r>
      <w:r w:rsidRPr="00FB709F">
        <w:rPr>
          <w:rFonts w:hint="eastAsia" w:eastAsia="Yu Mincho"/>
          <w:lang w:eastAsia="ja-JP"/>
        </w:rPr>
        <w:t>,</w:t>
      </w:r>
      <w:r w:rsidRPr="00FB709F">
        <w:t xml:space="preserve"> Safety and Health Technology Center (</w:t>
      </w:r>
      <w:proofErr w:type="spellStart"/>
      <w:r w:rsidRPr="00FB709F">
        <w:t>SAHTECH</w:t>
      </w:r>
      <w:proofErr w:type="spellEnd"/>
      <w:r w:rsidRPr="00FB709F">
        <w:t>) of Chinese Taipei, and Korea Chemical Management Association (</w:t>
      </w:r>
      <w:proofErr w:type="spellStart"/>
      <w:r w:rsidRPr="00FB709F">
        <w:t>KCMA</w:t>
      </w:r>
      <w:proofErr w:type="spellEnd"/>
      <w:r w:rsidRPr="00FB709F">
        <w:t xml:space="preserve">) of Korea signed Memorandum of Understanding (MoU), respectively, during 2015-2017. Under the MoUs, this cooperation focuses on the chemical policy system of the three regions, as well as important issues related to chemical management, such as source management, chemical products management, risk management and communication, alternative testing methods, and common practice challenges etc. In practice, several bilateral meetings (Japan-Chinese Taipei, Japan-Korea, Chinese Taipei-Korea) have been held annually to share the updated regulatory progress and the best practices of implementation </w:t>
      </w:r>
      <w:proofErr w:type="gramStart"/>
      <w:r w:rsidRPr="00FB709F">
        <w:t>since  2015</w:t>
      </w:r>
      <w:proofErr w:type="gramEnd"/>
      <w:r w:rsidRPr="00FB709F">
        <w:t>.</w:t>
      </w:r>
    </w:p>
    <w:p w:rsidRPr="00FB709F" w:rsidR="00402CE0" w:rsidP="00402CE0" w:rsidRDefault="00402CE0" w14:paraId="5A54E1AF" w14:textId="77777777">
      <w:pPr>
        <w:pStyle w:val="BodyText"/>
        <w:spacing w:after="0"/>
        <w:ind w:firstLine="0"/>
        <w:rPr>
          <w:bCs/>
        </w:rPr>
      </w:pPr>
    </w:p>
    <w:p w:rsidRPr="00194F69" w:rsidR="00402CE0" w:rsidP="00402CE0" w:rsidRDefault="00402CE0" w14:paraId="5A54E1B1" w14:textId="4214C88D">
      <w:pPr>
        <w:pStyle w:val="BodyText"/>
        <w:spacing w:after="0"/>
        <w:ind w:firstLine="0"/>
        <w:rPr>
          <w:b/>
          <w:bCs/>
          <w:i/>
        </w:rPr>
      </w:pPr>
      <w:r w:rsidRPr="00194F69">
        <w:rPr>
          <w:b/>
          <w:bCs/>
          <w:i/>
        </w:rPr>
        <w:t xml:space="preserve">Best Practices: </w:t>
      </w:r>
    </w:p>
    <w:p w:rsidRPr="00FB709F" w:rsidR="00FB709F" w:rsidP="00FB709F" w:rsidRDefault="00FB709F" w14:paraId="03CEB844" w14:textId="77777777">
      <w:pPr>
        <w:pStyle w:val="ListParagraph"/>
        <w:widowControl w:val="0"/>
        <w:numPr>
          <w:ilvl w:val="0"/>
          <w:numId w:val="23"/>
        </w:numPr>
      </w:pPr>
      <w:r w:rsidRPr="00FB709F">
        <w:t>Through the cooperation and annual bilateral meetings, each institution can mutually benefit from having a better understanding of each other’s regulatory system.  Information and best practice experiences exchanged in the events are further shared with local stakeholders and industries, respectively.</w:t>
      </w:r>
    </w:p>
    <w:p w:rsidRPr="00FB709F" w:rsidR="00FB709F" w:rsidP="00FB709F" w:rsidRDefault="00FB709F" w14:paraId="2C7FAC85" w14:textId="77777777">
      <w:pPr>
        <w:pStyle w:val="ListParagraph"/>
        <w:widowControl w:val="0"/>
        <w:numPr>
          <w:ilvl w:val="0"/>
          <w:numId w:val="23"/>
        </w:numPr>
      </w:pPr>
      <w:r w:rsidRPr="00FB709F">
        <w:t xml:space="preserve">Setting benchmarks for regulatory implementation best practices, and therefore further affecting the establishment or amendment of the regulatory system in each region.  </w:t>
      </w:r>
    </w:p>
    <w:p w:rsidRPr="00FB709F" w:rsidR="00FB709F" w:rsidP="00FB709F" w:rsidRDefault="00FB709F" w14:paraId="390A3D6A" w14:textId="77777777">
      <w:pPr>
        <w:pStyle w:val="ListParagraph"/>
        <w:widowControl w:val="0"/>
        <w:numPr>
          <w:ilvl w:val="0"/>
          <w:numId w:val="23"/>
        </w:numPr>
      </w:pPr>
      <w:r w:rsidRPr="00FB709F">
        <w:t>Mutual seminars are held for local industries from each region to prevent non-necessary technical trade barriers and better regulatory understanding/compliance.</w:t>
      </w:r>
    </w:p>
    <w:p w:rsidRPr="00FB709F" w:rsidR="00FB709F" w:rsidP="00FB709F" w:rsidRDefault="00FB709F" w14:paraId="58E2CFD7" w14:textId="77777777">
      <w:pPr>
        <w:pStyle w:val="ListParagraph"/>
        <w:widowControl w:val="0"/>
        <w:numPr>
          <w:ilvl w:val="0"/>
          <w:numId w:val="23"/>
        </w:numPr>
      </w:pPr>
      <w:r w:rsidRPr="00FB709F">
        <w:t>Exchange newsletters and regulatory updates for redistribution to local industries.</w:t>
      </w:r>
    </w:p>
    <w:p w:rsidR="00A741E0" w:rsidP="00EE2EEA" w:rsidRDefault="00A741E0" w14:paraId="5A54E1B3" w14:textId="77777777">
      <w:pPr>
        <w:pStyle w:val="BodyText"/>
        <w:spacing w:after="0"/>
        <w:ind w:firstLine="0"/>
        <w:rPr>
          <w:b/>
          <w:iCs/>
        </w:rPr>
      </w:pPr>
    </w:p>
    <w:p w:rsidRPr="00CC7B3B" w:rsidR="00A741E0" w:rsidP="00CC7B3B" w:rsidRDefault="00770CB2" w14:paraId="5A54E1B6" w14:textId="19673BCA">
      <w:pPr>
        <w:pStyle w:val="Heading3"/>
        <w:tabs>
          <w:tab w:val="clear" w:pos="2160"/>
          <w:tab w:val="num" w:pos="540"/>
        </w:tabs>
        <w:ind w:left="540" w:hanging="540"/>
        <w:rPr>
          <w:b/>
          <w:u w:val="single"/>
        </w:rPr>
      </w:pPr>
      <w:bookmarkStart w:name="_Toc55375567" w:id="12"/>
      <w:r w:rsidRPr="00CC7B3B">
        <w:rPr>
          <w:b/>
          <w:u w:val="single"/>
        </w:rPr>
        <w:t>ASEAN Regulatory Cooperation Project (</w:t>
      </w:r>
      <w:proofErr w:type="spellStart"/>
      <w:r w:rsidRPr="00CC7B3B">
        <w:rPr>
          <w:b/>
          <w:u w:val="single"/>
        </w:rPr>
        <w:t>ARCP</w:t>
      </w:r>
      <w:proofErr w:type="spellEnd"/>
      <w:r w:rsidRPr="00CC7B3B">
        <w:rPr>
          <w:b/>
          <w:u w:val="single"/>
        </w:rPr>
        <w:t>)</w:t>
      </w:r>
      <w:bookmarkEnd w:id="12"/>
    </w:p>
    <w:p w:rsidR="00661454" w:rsidP="00EE2EEA" w:rsidRDefault="00F921FF" w14:paraId="5A54E1B8" w14:textId="104C5E20">
      <w:pPr>
        <w:pStyle w:val="BodyText"/>
        <w:spacing w:after="0"/>
        <w:ind w:firstLine="0"/>
        <w:rPr>
          <w:bCs/>
        </w:rPr>
      </w:pPr>
      <w:hyperlink w:history="1" r:id="rId13">
        <w:r w:rsidRPr="00C660BA" w:rsidR="008F5D07">
          <w:rPr>
            <w:rStyle w:val="Hyperlink"/>
            <w:bCs/>
          </w:rPr>
          <w:t>The ASEAN Regulatory Cooperation Project</w:t>
        </w:r>
      </w:hyperlink>
      <w:r w:rsidRPr="008F5D07" w:rsidR="008F5D07">
        <w:rPr>
          <w:bCs/>
        </w:rPr>
        <w:t xml:space="preserve"> (</w:t>
      </w:r>
      <w:proofErr w:type="spellStart"/>
      <w:r w:rsidRPr="008F5D07" w:rsidR="008F5D07">
        <w:rPr>
          <w:bCs/>
        </w:rPr>
        <w:t>ARCP</w:t>
      </w:r>
      <w:proofErr w:type="spellEnd"/>
      <w:r w:rsidRPr="008F5D07" w:rsidR="008F5D07">
        <w:rPr>
          <w:bCs/>
        </w:rPr>
        <w:t xml:space="preserve">) aims </w:t>
      </w:r>
      <w:r w:rsidR="00C660BA">
        <w:rPr>
          <w:bCs/>
        </w:rPr>
        <w:t>to</w:t>
      </w:r>
      <w:r w:rsidRPr="008F5D07" w:rsidR="008F5D07">
        <w:rPr>
          <w:bCs/>
        </w:rPr>
        <w:t xml:space="preserve"> encourag</w:t>
      </w:r>
      <w:r w:rsidR="00C660BA">
        <w:rPr>
          <w:bCs/>
        </w:rPr>
        <w:t>e</w:t>
      </w:r>
      <w:r w:rsidRPr="008F5D07" w:rsidR="008F5D07">
        <w:rPr>
          <w:bCs/>
        </w:rPr>
        <w:t xml:space="preserve"> regulatory cooperation and convergence</w:t>
      </w:r>
      <w:r w:rsidR="008F5D07">
        <w:rPr>
          <w:bCs/>
        </w:rPr>
        <w:t xml:space="preserve"> by</w:t>
      </w:r>
      <w:r w:rsidRPr="008F5D07" w:rsidR="008F5D07">
        <w:rPr>
          <w:bCs/>
        </w:rPr>
        <w:t xml:space="preserve"> addressing non-tariff barriers due to divergence of ch</w:t>
      </w:r>
      <w:r w:rsidR="008F5D07">
        <w:rPr>
          <w:bCs/>
        </w:rPr>
        <w:t>emical management regulations.</w:t>
      </w:r>
      <w:r w:rsidR="00661454">
        <w:rPr>
          <w:bCs/>
        </w:rPr>
        <w:t xml:space="preserve"> </w:t>
      </w:r>
      <w:r w:rsidR="0021169C">
        <w:rPr>
          <w:bCs/>
        </w:rPr>
        <w:t xml:space="preserve">The </w:t>
      </w:r>
      <w:proofErr w:type="spellStart"/>
      <w:r w:rsidRPr="0021169C" w:rsidR="0021169C">
        <w:rPr>
          <w:bCs/>
        </w:rPr>
        <w:t>ARCP</w:t>
      </w:r>
      <w:proofErr w:type="spellEnd"/>
      <w:r w:rsidRPr="0021169C" w:rsidR="0021169C">
        <w:rPr>
          <w:bCs/>
        </w:rPr>
        <w:t xml:space="preserve"> initiative is aligned to the directive of the ASEAN Economic Community (AEC)</w:t>
      </w:r>
      <w:r w:rsidR="0021169C">
        <w:rPr>
          <w:bCs/>
        </w:rPr>
        <w:t>,</w:t>
      </w:r>
      <w:r w:rsidRPr="0021169C" w:rsidR="0021169C">
        <w:rPr>
          <w:bCs/>
        </w:rPr>
        <w:t xml:space="preserve"> which promotes the use of good</w:t>
      </w:r>
      <w:r w:rsidR="0021169C">
        <w:rPr>
          <w:bCs/>
        </w:rPr>
        <w:t xml:space="preserve"> regulatory practices</w:t>
      </w:r>
      <w:r w:rsidRPr="0021169C" w:rsidR="0021169C">
        <w:rPr>
          <w:bCs/>
        </w:rPr>
        <w:t xml:space="preserve"> to</w:t>
      </w:r>
      <w:r w:rsidR="0021169C">
        <w:rPr>
          <w:bCs/>
        </w:rPr>
        <w:t xml:space="preserve"> help</w:t>
      </w:r>
      <w:r w:rsidRPr="0021169C" w:rsidR="0021169C">
        <w:rPr>
          <w:bCs/>
        </w:rPr>
        <w:t xml:space="preserve"> establish regulatory environments that encourage free and open trade and investment while protecting human health, safety, environment and security.</w:t>
      </w:r>
      <w:r w:rsidR="0021169C">
        <w:rPr>
          <w:bCs/>
        </w:rPr>
        <w:t xml:space="preserve"> </w:t>
      </w:r>
      <w:r w:rsidRPr="008F5D07" w:rsidR="008F5D07">
        <w:rPr>
          <w:bCs/>
        </w:rPr>
        <w:t xml:space="preserve">The </w:t>
      </w:r>
      <w:proofErr w:type="spellStart"/>
      <w:r w:rsidRPr="008F5D07" w:rsidR="008F5D07">
        <w:rPr>
          <w:bCs/>
        </w:rPr>
        <w:t>ARCP</w:t>
      </w:r>
      <w:proofErr w:type="spellEnd"/>
      <w:r w:rsidRPr="008F5D07" w:rsidR="008F5D07">
        <w:rPr>
          <w:bCs/>
        </w:rPr>
        <w:t xml:space="preserve"> is led by the American Chemistry Council (ACC), </w:t>
      </w:r>
      <w:proofErr w:type="spellStart"/>
      <w:r w:rsidRPr="008F5D07" w:rsidR="008F5D07">
        <w:rPr>
          <w:bCs/>
        </w:rPr>
        <w:t>CEFIC</w:t>
      </w:r>
      <w:proofErr w:type="spellEnd"/>
      <w:r w:rsidRPr="008F5D07" w:rsidR="008F5D07">
        <w:rPr>
          <w:bCs/>
        </w:rPr>
        <w:t>, Japan Chemical Industry Association (</w:t>
      </w:r>
      <w:proofErr w:type="spellStart"/>
      <w:r w:rsidRPr="008F5D07" w:rsidR="008F5D07">
        <w:rPr>
          <w:bCs/>
        </w:rPr>
        <w:t>JCIA</w:t>
      </w:r>
      <w:proofErr w:type="spellEnd"/>
      <w:r w:rsidRPr="008F5D07" w:rsidR="008F5D07">
        <w:rPr>
          <w:bCs/>
        </w:rPr>
        <w:t>), and Singapore Chemical Industry Council (SCIC) in joint-efforts to advance chemical regulatory cooperation in the ASEAN region.</w:t>
      </w:r>
    </w:p>
    <w:p w:rsidR="007E706F" w:rsidP="00EE2EEA" w:rsidRDefault="007E706F" w14:paraId="5A54E1BA" w14:textId="77777777">
      <w:pPr>
        <w:pStyle w:val="BodyText"/>
        <w:spacing w:after="0"/>
        <w:ind w:firstLine="0"/>
        <w:rPr>
          <w:bCs/>
        </w:rPr>
      </w:pPr>
    </w:p>
    <w:p w:rsidRPr="00194F69" w:rsidR="00402CE0" w:rsidP="00402CE0" w:rsidRDefault="00402CE0" w14:paraId="5A54E1BB" w14:textId="77777777">
      <w:pPr>
        <w:pStyle w:val="BodyText"/>
        <w:spacing w:after="0"/>
        <w:ind w:firstLine="0"/>
        <w:rPr>
          <w:b/>
          <w:bCs/>
          <w:i/>
        </w:rPr>
      </w:pPr>
      <w:r w:rsidRPr="00194F69">
        <w:rPr>
          <w:b/>
          <w:bCs/>
          <w:i/>
        </w:rPr>
        <w:lastRenderedPageBreak/>
        <w:t xml:space="preserve">Best Practices: </w:t>
      </w:r>
    </w:p>
    <w:p w:rsidRPr="009E16C8" w:rsidR="009E16C8" w:rsidP="009E16C8" w:rsidRDefault="00892DBE" w14:paraId="5A54E1BC" w14:textId="77777777">
      <w:pPr>
        <w:pStyle w:val="BodyText"/>
        <w:numPr>
          <w:ilvl w:val="0"/>
          <w:numId w:val="16"/>
        </w:numPr>
        <w:spacing w:after="0"/>
        <w:rPr>
          <w:bCs/>
        </w:rPr>
      </w:pPr>
      <w:r>
        <w:rPr>
          <w:bCs/>
        </w:rPr>
        <w:t>Regulators should avoid regulations that are: burdensome, costly, impracti</w:t>
      </w:r>
      <w:r w:rsidR="00B627C7">
        <w:rPr>
          <w:bCs/>
        </w:rPr>
        <w:t>cal, more resource intensive the</w:t>
      </w:r>
      <w:r>
        <w:rPr>
          <w:bCs/>
        </w:rPr>
        <w:t xml:space="preserve">n required </w:t>
      </w:r>
    </w:p>
    <w:p w:rsidR="009E16C8" w:rsidP="009E16C8" w:rsidRDefault="00892DBE" w14:paraId="5A54E1BD" w14:textId="77777777">
      <w:pPr>
        <w:pStyle w:val="BodyText"/>
        <w:numPr>
          <w:ilvl w:val="0"/>
          <w:numId w:val="16"/>
        </w:numPr>
        <w:spacing w:after="0"/>
        <w:rPr>
          <w:bCs/>
        </w:rPr>
      </w:pPr>
      <w:r w:rsidRPr="00892DBE">
        <w:rPr>
          <w:bCs/>
        </w:rPr>
        <w:t>A prioritized risk-based approach should be used</w:t>
      </w:r>
      <w:r>
        <w:rPr>
          <w:bCs/>
        </w:rPr>
        <w:t xml:space="preserve"> </w:t>
      </w:r>
      <w:r w:rsidRPr="00892DBE">
        <w:rPr>
          <w:bCs/>
        </w:rPr>
        <w:t>when a country is revising or improving their</w:t>
      </w:r>
      <w:r>
        <w:rPr>
          <w:bCs/>
        </w:rPr>
        <w:t xml:space="preserve"> </w:t>
      </w:r>
      <w:r w:rsidRPr="00892DBE">
        <w:rPr>
          <w:bCs/>
        </w:rPr>
        <w:t>chemicals management system</w:t>
      </w:r>
    </w:p>
    <w:p w:rsidRPr="009E16C8" w:rsidR="009E16C8" w:rsidP="009E16C8" w:rsidRDefault="009E16C8" w14:paraId="5A54E1BE" w14:textId="77777777">
      <w:pPr>
        <w:pStyle w:val="BodyText"/>
        <w:numPr>
          <w:ilvl w:val="0"/>
          <w:numId w:val="16"/>
        </w:numPr>
        <w:spacing w:after="0"/>
        <w:rPr>
          <w:bCs/>
        </w:rPr>
      </w:pPr>
      <w:r w:rsidRPr="009E16C8">
        <w:rPr>
          <w:bCs/>
        </w:rPr>
        <w:t>Elements of a Risk-Based System include:</w:t>
      </w:r>
    </w:p>
    <w:p w:rsidRPr="007F7BBC" w:rsidR="009E16C8" w:rsidP="007F7BBC" w:rsidRDefault="009E16C8" w14:paraId="5A54E1C0" w14:textId="7AA41069">
      <w:pPr>
        <w:pStyle w:val="BodyText"/>
        <w:numPr>
          <w:ilvl w:val="1"/>
          <w:numId w:val="16"/>
        </w:numPr>
        <w:spacing w:after="0"/>
        <w:rPr>
          <w:bCs/>
        </w:rPr>
      </w:pPr>
      <w:r w:rsidRPr="009E16C8">
        <w:rPr>
          <w:bCs/>
        </w:rPr>
        <w:t>Identification of chemicals in commerce based on existing and available data; screening</w:t>
      </w:r>
      <w:r w:rsidR="007F7BBC">
        <w:rPr>
          <w:bCs/>
        </w:rPr>
        <w:t xml:space="preserve"> </w:t>
      </w:r>
      <w:r w:rsidRPr="007F7BBC">
        <w:rPr>
          <w:bCs/>
        </w:rPr>
        <w:t>assessment and prioritization of all chemicals in commerce</w:t>
      </w:r>
      <w:r w:rsidR="007F7BBC">
        <w:rPr>
          <w:bCs/>
        </w:rPr>
        <w:t>;</w:t>
      </w:r>
    </w:p>
    <w:p w:rsidRPr="009E16C8" w:rsidR="009E16C8" w:rsidP="009E16C8" w:rsidRDefault="00B61E0C" w14:paraId="5A54E1C1" w14:textId="0316926C">
      <w:pPr>
        <w:pStyle w:val="BodyText"/>
        <w:numPr>
          <w:ilvl w:val="1"/>
          <w:numId w:val="16"/>
        </w:numPr>
        <w:spacing w:after="0"/>
        <w:rPr>
          <w:bCs/>
        </w:rPr>
      </w:pPr>
      <w:r>
        <w:rPr>
          <w:bCs/>
        </w:rPr>
        <w:t>A f</w:t>
      </w:r>
      <w:r w:rsidRPr="009E16C8" w:rsidR="009E16C8">
        <w:rPr>
          <w:bCs/>
        </w:rPr>
        <w:t>ull range of risk management actions, ranging from labeling to bans and phase outs</w:t>
      </w:r>
      <w:r w:rsidR="007F7BBC">
        <w:rPr>
          <w:bCs/>
        </w:rPr>
        <w:t>;</w:t>
      </w:r>
    </w:p>
    <w:p w:rsidRPr="009E16C8" w:rsidR="009E16C8" w:rsidP="009E16C8" w:rsidRDefault="009E16C8" w14:paraId="5A54E1C2" w14:textId="076107B3">
      <w:pPr>
        <w:pStyle w:val="BodyText"/>
        <w:numPr>
          <w:ilvl w:val="1"/>
          <w:numId w:val="16"/>
        </w:numPr>
        <w:spacing w:after="0"/>
        <w:rPr>
          <w:bCs/>
        </w:rPr>
      </w:pPr>
      <w:r w:rsidRPr="009E16C8">
        <w:rPr>
          <w:bCs/>
        </w:rPr>
        <w:t>Public Transparency &amp; Stakeholder Consultation</w:t>
      </w:r>
      <w:r w:rsidR="007F7BBC">
        <w:rPr>
          <w:bCs/>
        </w:rPr>
        <w:t>; and</w:t>
      </w:r>
    </w:p>
    <w:p w:rsidRPr="009E16C8" w:rsidR="009E16C8" w:rsidP="000749A2" w:rsidRDefault="009E16C8" w14:paraId="5A54E1C3" w14:textId="307124D6">
      <w:pPr>
        <w:pStyle w:val="BodyText"/>
        <w:numPr>
          <w:ilvl w:val="1"/>
          <w:numId w:val="16"/>
        </w:numPr>
        <w:spacing w:after="0"/>
        <w:rPr>
          <w:bCs/>
        </w:rPr>
      </w:pPr>
      <w:r w:rsidRPr="009E16C8">
        <w:rPr>
          <w:bCs/>
        </w:rPr>
        <w:t>Protection of Confidential Business Information</w:t>
      </w:r>
      <w:r w:rsidR="007F7BBC">
        <w:rPr>
          <w:bCs/>
        </w:rPr>
        <w:t>.</w:t>
      </w:r>
    </w:p>
    <w:p w:rsidR="00402CE0" w:rsidP="00402CE0" w:rsidRDefault="00402CE0" w14:paraId="5A54E1C4" w14:textId="77777777">
      <w:pPr>
        <w:pStyle w:val="BodyText"/>
        <w:spacing w:after="0"/>
        <w:ind w:firstLine="0"/>
        <w:rPr>
          <w:bCs/>
        </w:rPr>
      </w:pPr>
    </w:p>
    <w:p w:rsidRPr="007F7BBC" w:rsidR="007F7BBC" w:rsidP="007F7BBC" w:rsidRDefault="007F7BBC" w14:paraId="5B589103" w14:textId="791D3EB4">
      <w:pPr>
        <w:pStyle w:val="BodyText"/>
        <w:numPr>
          <w:ilvl w:val="0"/>
          <w:numId w:val="24"/>
        </w:numPr>
        <w:spacing w:after="0"/>
        <w:rPr>
          <w:b/>
          <w:bCs/>
          <w:lang w:val="en-SG"/>
        </w:rPr>
      </w:pPr>
      <w:r w:rsidRPr="007F7BBC">
        <w:rPr>
          <w:b/>
          <w:bCs/>
          <w:lang w:val="en-SG"/>
        </w:rPr>
        <w:t>Capacity and capability building to support the implementation of sound chemicals management system</w:t>
      </w:r>
      <w:r w:rsidR="008C62B1">
        <w:rPr>
          <w:b/>
          <w:bCs/>
          <w:lang w:val="en-SG"/>
        </w:rPr>
        <w:t>s</w:t>
      </w:r>
      <w:r w:rsidRPr="007F7BBC">
        <w:rPr>
          <w:b/>
          <w:bCs/>
          <w:lang w:val="en-SG"/>
        </w:rPr>
        <w:t>:</w:t>
      </w:r>
    </w:p>
    <w:p w:rsidRPr="007F7BBC" w:rsidR="007F7BBC" w:rsidP="007F7BBC" w:rsidRDefault="007F7BBC" w14:paraId="6FC01460" w14:textId="536C9A21">
      <w:pPr>
        <w:pStyle w:val="BodyText"/>
        <w:numPr>
          <w:ilvl w:val="1"/>
          <w:numId w:val="24"/>
        </w:numPr>
        <w:spacing w:after="0"/>
        <w:rPr>
          <w:lang w:val="en-SG"/>
        </w:rPr>
      </w:pPr>
      <w:r w:rsidRPr="007F7BBC">
        <w:rPr>
          <w:lang w:val="en-SG"/>
        </w:rPr>
        <w:t xml:space="preserve">Development of ASEAN Guidance Documents on GHS implementation alignment and development of a Chemical Inventory for </w:t>
      </w:r>
      <w:r>
        <w:rPr>
          <w:lang w:val="en-SG"/>
        </w:rPr>
        <w:t>ASEAN Member States’ (AMS)</w:t>
      </w:r>
      <w:r w:rsidRPr="007F7BBC">
        <w:rPr>
          <w:lang w:val="en-SG"/>
        </w:rPr>
        <w:t xml:space="preserve"> reference.</w:t>
      </w:r>
    </w:p>
    <w:p w:rsidRPr="007F7BBC" w:rsidR="007F7BBC" w:rsidP="007F7BBC" w:rsidRDefault="007F7BBC" w14:paraId="36DAA37B" w14:textId="6A4B2F82">
      <w:pPr>
        <w:pStyle w:val="BodyText"/>
        <w:numPr>
          <w:ilvl w:val="1"/>
          <w:numId w:val="24"/>
        </w:numPr>
        <w:spacing w:after="0"/>
        <w:ind w:left="1434" w:hanging="357"/>
        <w:contextualSpacing/>
        <w:rPr>
          <w:lang w:val="en-SG"/>
        </w:rPr>
      </w:pPr>
      <w:r w:rsidRPr="007F7BBC">
        <w:rPr>
          <w:lang w:val="en-SG"/>
        </w:rPr>
        <w:t>Risk Assessment training</w:t>
      </w:r>
      <w:r>
        <w:rPr>
          <w:lang w:val="en-SG"/>
        </w:rPr>
        <w:t>.</w:t>
      </w:r>
      <w:r w:rsidRPr="007F7BBC">
        <w:rPr>
          <w:lang w:val="en-SG"/>
        </w:rPr>
        <w:t xml:space="preserve"> </w:t>
      </w:r>
    </w:p>
    <w:p w:rsidRPr="007F7BBC" w:rsidR="007F7BBC" w:rsidP="007F7BBC" w:rsidRDefault="007F7BBC" w14:paraId="7CBE8237" w14:textId="616A6D16">
      <w:pPr>
        <w:pStyle w:val="BodyText"/>
        <w:numPr>
          <w:ilvl w:val="1"/>
          <w:numId w:val="24"/>
        </w:numPr>
        <w:spacing w:after="0"/>
        <w:ind w:left="1434" w:hanging="357"/>
        <w:contextualSpacing/>
        <w:rPr>
          <w:lang w:val="en-SG"/>
        </w:rPr>
      </w:pPr>
      <w:r w:rsidRPr="007F7BBC">
        <w:rPr>
          <w:lang w:val="en-SG"/>
        </w:rPr>
        <w:t>Training on use of ASEAN prioritization tools in priority setting for risk assessment of chemicals</w:t>
      </w:r>
      <w:r>
        <w:rPr>
          <w:lang w:val="en-SG"/>
        </w:rPr>
        <w:t>.</w:t>
      </w:r>
      <w:r w:rsidRPr="007F7BBC">
        <w:rPr>
          <w:lang w:val="en-SG"/>
        </w:rPr>
        <w:t xml:space="preserve"> </w:t>
      </w:r>
    </w:p>
    <w:p w:rsidRPr="007F7BBC" w:rsidR="007F7BBC" w:rsidP="007F7BBC" w:rsidRDefault="007F7BBC" w14:paraId="339684B2" w14:textId="56CA794C">
      <w:pPr>
        <w:pStyle w:val="BodyText"/>
        <w:numPr>
          <w:ilvl w:val="1"/>
          <w:numId w:val="24"/>
        </w:numPr>
        <w:spacing w:after="0"/>
        <w:ind w:left="1434" w:hanging="357"/>
        <w:contextualSpacing/>
        <w:rPr>
          <w:lang w:val="en-SG"/>
        </w:rPr>
      </w:pPr>
      <w:r w:rsidRPr="007F7BBC">
        <w:rPr>
          <w:lang w:val="en-SG"/>
        </w:rPr>
        <w:t>Provision of introductory kn</w:t>
      </w:r>
      <w:r>
        <w:rPr>
          <w:lang w:val="en-SG"/>
        </w:rPr>
        <w:t>owledge to human health and eco-</w:t>
      </w:r>
      <w:r w:rsidRPr="007F7BBC">
        <w:rPr>
          <w:lang w:val="en-SG"/>
        </w:rPr>
        <w:t>toxicology</w:t>
      </w:r>
      <w:r>
        <w:rPr>
          <w:lang w:val="en-SG"/>
        </w:rPr>
        <w:t>.</w:t>
      </w:r>
      <w:r w:rsidRPr="007F7BBC">
        <w:rPr>
          <w:lang w:val="en-SG"/>
        </w:rPr>
        <w:t xml:space="preserve"> </w:t>
      </w:r>
    </w:p>
    <w:p w:rsidRPr="007F7BBC" w:rsidR="007F7BBC" w:rsidP="007F7BBC" w:rsidRDefault="007F7BBC" w14:paraId="306D7F4D" w14:textId="77777777">
      <w:pPr>
        <w:pStyle w:val="BodyText"/>
        <w:spacing w:after="0"/>
        <w:ind w:left="1440" w:firstLine="0"/>
        <w:rPr>
          <w:lang w:val="en-SG"/>
        </w:rPr>
      </w:pPr>
    </w:p>
    <w:p w:rsidRPr="007F7BBC" w:rsidR="007F7BBC" w:rsidP="007F7BBC" w:rsidRDefault="007F7BBC" w14:paraId="73B97041" w14:textId="554FBEF0">
      <w:pPr>
        <w:pStyle w:val="BodyText"/>
        <w:numPr>
          <w:ilvl w:val="0"/>
          <w:numId w:val="24"/>
        </w:numPr>
        <w:rPr>
          <w:b/>
          <w:bCs/>
          <w:lang w:val="en-SG"/>
        </w:rPr>
      </w:pPr>
      <w:r w:rsidRPr="007F7BBC">
        <w:rPr>
          <w:b/>
          <w:bCs/>
          <w:lang w:val="en-SG"/>
        </w:rPr>
        <w:t xml:space="preserve">Establishment of an effective AMS network </w:t>
      </w:r>
      <w:proofErr w:type="gramStart"/>
      <w:r w:rsidR="008C62B1">
        <w:rPr>
          <w:b/>
          <w:bCs/>
          <w:lang w:val="en-SG"/>
        </w:rPr>
        <w:t xml:space="preserve">for </w:t>
      </w:r>
      <w:r w:rsidRPr="007F7BBC">
        <w:rPr>
          <w:b/>
          <w:bCs/>
          <w:lang w:val="en-SG"/>
        </w:rPr>
        <w:t xml:space="preserve"> regular</w:t>
      </w:r>
      <w:proofErr w:type="gramEnd"/>
      <w:r w:rsidRPr="007F7BBC">
        <w:rPr>
          <w:b/>
          <w:bCs/>
          <w:lang w:val="en-SG"/>
        </w:rPr>
        <w:t xml:space="preserve"> exchanges of regulatory developments </w:t>
      </w:r>
      <w:r w:rsidR="00C53B19">
        <w:rPr>
          <w:b/>
          <w:bCs/>
          <w:lang w:val="en-SG"/>
        </w:rPr>
        <w:t xml:space="preserve">and </w:t>
      </w:r>
      <w:r w:rsidRPr="007F7BBC">
        <w:rPr>
          <w:b/>
          <w:bCs/>
          <w:lang w:val="en-SG"/>
        </w:rPr>
        <w:t xml:space="preserve"> exchange of information and experience in chemicals management system implementation by ASEAN Member States:</w:t>
      </w:r>
    </w:p>
    <w:p w:rsidRPr="007F7BBC" w:rsidR="007F7BBC" w:rsidP="007F7BBC" w:rsidRDefault="007F7BBC" w14:paraId="2C14722A" w14:textId="6F5CDAEC">
      <w:pPr>
        <w:pStyle w:val="BodyText"/>
        <w:numPr>
          <w:ilvl w:val="1"/>
          <w:numId w:val="24"/>
        </w:numPr>
        <w:rPr>
          <w:lang w:val="en-SG"/>
        </w:rPr>
      </w:pPr>
      <w:r w:rsidRPr="007F7BBC">
        <w:rPr>
          <w:lang w:val="en-SG"/>
        </w:rPr>
        <w:t xml:space="preserve">Regular workshops to provide the platform </w:t>
      </w:r>
      <w:r w:rsidR="008C62B1">
        <w:rPr>
          <w:lang w:val="en-SG"/>
        </w:rPr>
        <w:t>for</w:t>
      </w:r>
      <w:r w:rsidRPr="007F7BBC">
        <w:rPr>
          <w:lang w:val="en-SG"/>
        </w:rPr>
        <w:t xml:space="preserve"> sharing including:</w:t>
      </w:r>
    </w:p>
    <w:p w:rsidRPr="007F7BBC" w:rsidR="007F7BBC" w:rsidP="007F7BBC" w:rsidRDefault="007F7BBC" w14:paraId="276C752C" w14:textId="48000ED6">
      <w:pPr>
        <w:pStyle w:val="BodyText"/>
        <w:numPr>
          <w:ilvl w:val="2"/>
          <w:numId w:val="24"/>
        </w:numPr>
        <w:rPr>
          <w:lang w:val="en-SG"/>
        </w:rPr>
      </w:pPr>
      <w:r w:rsidRPr="007F7BBC">
        <w:rPr>
          <w:lang w:val="en-SG"/>
        </w:rPr>
        <w:t>Case study sharing on challenges on GHS and Chemical Inventory implementation experiences with reference to the ASEAN Guidance Documents developed</w:t>
      </w:r>
      <w:r w:rsidR="008C62B1">
        <w:rPr>
          <w:lang w:val="en-SG"/>
        </w:rPr>
        <w:t>,</w:t>
      </w:r>
      <w:r w:rsidRPr="007F7BBC">
        <w:rPr>
          <w:lang w:val="en-SG"/>
        </w:rPr>
        <w:t xml:space="preserve"> (for example: </w:t>
      </w:r>
      <w:r w:rsidR="008C62B1">
        <w:rPr>
          <w:lang w:val="en-SG"/>
        </w:rPr>
        <w:t>s</w:t>
      </w:r>
      <w:r w:rsidRPr="007F7BBC">
        <w:rPr>
          <w:lang w:val="en-SG"/>
        </w:rPr>
        <w:t xml:space="preserve">haring of issues among AMS (related to </w:t>
      </w:r>
      <w:r w:rsidRPr="007F7BBC">
        <w:t>non-technical barriers to trade) in their process of Chemical Inventory and GHS implementation due to the adaptation of different building blocks</w:t>
      </w:r>
      <w:r w:rsidR="008C62B1">
        <w:t xml:space="preserve"> </w:t>
      </w:r>
      <w:r w:rsidRPr="007F7BBC">
        <w:t xml:space="preserve">/ cut-off limit and different GHS versions, country setting up own country specific </w:t>
      </w:r>
      <w:proofErr w:type="spellStart"/>
      <w:r w:rsidRPr="007F7BBC">
        <w:t>SDS</w:t>
      </w:r>
      <w:proofErr w:type="spellEnd"/>
      <w:r w:rsidRPr="007F7BBC">
        <w:t xml:space="preserve"> format and GHS labelling requirement including small volume limit and labelling cut-off, labelling size etc, as well as case study of GHS implementation approaches in other regions beyond AMS).</w:t>
      </w:r>
    </w:p>
    <w:p w:rsidRPr="007F7BBC" w:rsidR="007F7BBC" w:rsidP="007F7BBC" w:rsidRDefault="007F7BBC" w14:paraId="06D7F081" w14:textId="4D586206">
      <w:pPr>
        <w:pStyle w:val="BodyText"/>
        <w:numPr>
          <w:ilvl w:val="2"/>
          <w:numId w:val="24"/>
        </w:numPr>
        <w:rPr>
          <w:lang w:val="en-SG"/>
        </w:rPr>
      </w:pPr>
      <w:r w:rsidRPr="007F7BBC">
        <w:rPr>
          <w:lang w:val="en-SG"/>
        </w:rPr>
        <w:t>Good practi</w:t>
      </w:r>
      <w:r>
        <w:rPr>
          <w:lang w:val="en-SG"/>
        </w:rPr>
        <w:t xml:space="preserve">ces sharing among AMS on their </w:t>
      </w:r>
      <w:r w:rsidRPr="007F7BBC">
        <w:rPr>
          <w:lang w:val="en-SG"/>
        </w:rPr>
        <w:t xml:space="preserve">promotional tools, compliance tools, capacity and capability building programmes including the different level and type of GHS training courses conducted, the effectiveness </w:t>
      </w:r>
      <w:r w:rsidR="00C53B19">
        <w:rPr>
          <w:lang w:val="en-SG"/>
        </w:rPr>
        <w:t>of</w:t>
      </w:r>
      <w:r w:rsidRPr="007F7BBC">
        <w:rPr>
          <w:lang w:val="en-SG"/>
        </w:rPr>
        <w:t xml:space="preserve"> its outreach and knowledge building towards driving the successful implementation of GHS. Provided interactive gallery walk and story board exhibition boot</w:t>
      </w:r>
      <w:r w:rsidR="00C53B19">
        <w:rPr>
          <w:lang w:val="en-SG"/>
        </w:rPr>
        <w:t>h</w:t>
      </w:r>
      <w:r w:rsidRPr="007F7BBC">
        <w:rPr>
          <w:lang w:val="en-SG"/>
        </w:rPr>
        <w:t xml:space="preserve">s </w:t>
      </w:r>
      <w:proofErr w:type="gramStart"/>
      <w:r w:rsidR="00C53B19">
        <w:rPr>
          <w:lang w:val="en-SG"/>
        </w:rPr>
        <w:t xml:space="preserve">regarding </w:t>
      </w:r>
      <w:r w:rsidRPr="007F7BBC">
        <w:rPr>
          <w:lang w:val="en-SG"/>
        </w:rPr>
        <w:t xml:space="preserve"> GHS</w:t>
      </w:r>
      <w:proofErr w:type="gramEnd"/>
      <w:r w:rsidRPr="007F7BBC">
        <w:rPr>
          <w:lang w:val="en-SG"/>
        </w:rPr>
        <w:t xml:space="preserve"> Implementation. Good practices sharing also among AMS towards driving the successful implementation of Chemical Inventory.</w:t>
      </w:r>
    </w:p>
    <w:p w:rsidRPr="007F7BBC" w:rsidR="007F7BBC" w:rsidP="007F7BBC" w:rsidRDefault="007F7BBC" w14:paraId="25323E56" w14:textId="18EDEB61">
      <w:pPr>
        <w:pStyle w:val="BodyText"/>
        <w:numPr>
          <w:ilvl w:val="1"/>
          <w:numId w:val="24"/>
        </w:numPr>
        <w:spacing w:after="0"/>
        <w:rPr>
          <w:lang w:val="en-SG"/>
        </w:rPr>
      </w:pPr>
      <w:r w:rsidRPr="007F7BBC">
        <w:rPr>
          <w:lang w:val="en-SG"/>
        </w:rPr>
        <w:t xml:space="preserve">Development of reference working document on comparison of GHS implementation among AMS in overall landscape, classification, </w:t>
      </w:r>
      <w:r w:rsidR="00ED67FF">
        <w:rPr>
          <w:lang w:val="en-SG"/>
        </w:rPr>
        <w:t xml:space="preserve">and </w:t>
      </w:r>
      <w:r w:rsidRPr="007F7BBC">
        <w:rPr>
          <w:lang w:val="en-SG"/>
        </w:rPr>
        <w:t>labelling as key sources of information aimed at seeking alignment</w:t>
      </w:r>
    </w:p>
    <w:p w:rsidR="001621A2" w:rsidP="00402CE0" w:rsidRDefault="001621A2" w14:paraId="5A54E1C7" w14:textId="77777777">
      <w:pPr>
        <w:pStyle w:val="BodyText"/>
        <w:spacing w:after="0"/>
        <w:ind w:firstLine="0"/>
        <w:rPr>
          <w:bCs/>
        </w:rPr>
      </w:pPr>
    </w:p>
    <w:p w:rsidRPr="00F51F5C" w:rsidR="00402CE0" w:rsidP="00F51F5C" w:rsidRDefault="00660999" w14:paraId="5A54E1C8" w14:textId="36D5A52F">
      <w:pPr>
        <w:pStyle w:val="Heading3"/>
        <w:tabs>
          <w:tab w:val="clear" w:pos="2160"/>
          <w:tab w:val="num" w:pos="540"/>
        </w:tabs>
        <w:ind w:left="540" w:hanging="540"/>
        <w:rPr>
          <w:b/>
          <w:u w:val="single"/>
        </w:rPr>
      </w:pPr>
      <w:bookmarkStart w:name="_Toc55375568" w:id="13"/>
      <w:r w:rsidRPr="00F51F5C">
        <w:rPr>
          <w:b/>
          <w:u w:val="single"/>
        </w:rPr>
        <w:t>Latin America Regulatory Cooperation Forum (</w:t>
      </w:r>
      <w:proofErr w:type="spellStart"/>
      <w:r w:rsidRPr="00F51F5C">
        <w:rPr>
          <w:b/>
          <w:u w:val="single"/>
        </w:rPr>
        <w:t>LARCF</w:t>
      </w:r>
      <w:proofErr w:type="spellEnd"/>
      <w:r w:rsidRPr="00F51F5C">
        <w:rPr>
          <w:b/>
          <w:u w:val="single"/>
        </w:rPr>
        <w:t>)</w:t>
      </w:r>
      <w:bookmarkEnd w:id="13"/>
    </w:p>
    <w:p w:rsidR="001C13A8" w:rsidP="001C13A8" w:rsidRDefault="00660999" w14:paraId="06EAD8DD" w14:textId="15649FCC">
      <w:pPr>
        <w:pStyle w:val="BodyText"/>
        <w:ind w:firstLine="0"/>
        <w:rPr>
          <w:iCs/>
        </w:rPr>
      </w:pPr>
      <w:proofErr w:type="spellStart"/>
      <w:r w:rsidRPr="00660999">
        <w:rPr>
          <w:iCs/>
        </w:rPr>
        <w:t>LARCF</w:t>
      </w:r>
      <w:proofErr w:type="spellEnd"/>
      <w:r w:rsidRPr="00660999">
        <w:rPr>
          <w:iCs/>
        </w:rPr>
        <w:t xml:space="preserve"> promotes </w:t>
      </w:r>
      <w:r w:rsidRPr="00660999">
        <w:rPr>
          <w:bCs/>
          <w:iCs/>
        </w:rPr>
        <w:t xml:space="preserve">information sharing </w:t>
      </w:r>
      <w:r w:rsidRPr="00660999">
        <w:rPr>
          <w:iCs/>
        </w:rPr>
        <w:t xml:space="preserve">and technical discussions on chemical and waste regulatory developments in Latin America and </w:t>
      </w:r>
      <w:proofErr w:type="gramStart"/>
      <w:r w:rsidRPr="00660999">
        <w:rPr>
          <w:iCs/>
        </w:rPr>
        <w:t>support</w:t>
      </w:r>
      <w:r>
        <w:rPr>
          <w:iCs/>
        </w:rPr>
        <w:t>s</w:t>
      </w:r>
      <w:r w:rsidRPr="00660999">
        <w:rPr>
          <w:iCs/>
        </w:rPr>
        <w:t xml:space="preserve">  the</w:t>
      </w:r>
      <w:proofErr w:type="gramEnd"/>
      <w:r w:rsidRPr="00660999">
        <w:rPr>
          <w:iCs/>
        </w:rPr>
        <w:t xml:space="preserve"> organization of Regulatory Cooperation events. </w:t>
      </w:r>
      <w:r w:rsidR="001C13A8">
        <w:rPr>
          <w:iCs/>
        </w:rPr>
        <w:t xml:space="preserve">The overarching goal of the </w:t>
      </w:r>
      <w:proofErr w:type="spellStart"/>
      <w:r w:rsidR="001C13A8">
        <w:rPr>
          <w:iCs/>
        </w:rPr>
        <w:t>LARCF</w:t>
      </w:r>
      <w:proofErr w:type="spellEnd"/>
      <w:r w:rsidR="001C13A8">
        <w:rPr>
          <w:iCs/>
        </w:rPr>
        <w:t xml:space="preserve"> is to </w:t>
      </w:r>
      <w:r w:rsidRPr="001C13A8" w:rsidR="001C13A8">
        <w:rPr>
          <w:bCs/>
          <w:iCs/>
        </w:rPr>
        <w:t xml:space="preserve">drive the implementation and establishment </w:t>
      </w:r>
      <w:proofErr w:type="gramStart"/>
      <w:r w:rsidRPr="001C13A8" w:rsidR="001C13A8">
        <w:rPr>
          <w:bCs/>
          <w:iCs/>
        </w:rPr>
        <w:t>of  consistent</w:t>
      </w:r>
      <w:proofErr w:type="gramEnd"/>
      <w:r w:rsidRPr="001C13A8" w:rsidR="001C13A8">
        <w:rPr>
          <w:bCs/>
          <w:iCs/>
        </w:rPr>
        <w:t>, effective and science-based chemical systems in countries in Latin America.</w:t>
      </w:r>
      <w:r w:rsidR="001C13A8">
        <w:rPr>
          <w:b/>
          <w:bCs/>
          <w:iCs/>
        </w:rPr>
        <w:t xml:space="preserve"> </w:t>
      </w:r>
      <w:r>
        <w:rPr>
          <w:iCs/>
        </w:rPr>
        <w:t xml:space="preserve">To date, the participants include nine chemical industry associations; two downstream user associations; thirty chemical industry participants; fifty professionals; and five countries (Argentina, </w:t>
      </w:r>
      <w:proofErr w:type="spellStart"/>
      <w:r>
        <w:rPr>
          <w:iCs/>
        </w:rPr>
        <w:t>Brasil</w:t>
      </w:r>
      <w:proofErr w:type="spellEnd"/>
      <w:r>
        <w:rPr>
          <w:iCs/>
        </w:rPr>
        <w:t xml:space="preserve">, Chile, Colombia, and Mexico). </w:t>
      </w:r>
      <w:r w:rsidR="001C13A8">
        <w:rPr>
          <w:iCs/>
        </w:rPr>
        <w:t xml:space="preserve">The </w:t>
      </w:r>
      <w:proofErr w:type="spellStart"/>
      <w:r w:rsidR="001C13A8">
        <w:rPr>
          <w:iCs/>
        </w:rPr>
        <w:t>LARCF</w:t>
      </w:r>
      <w:proofErr w:type="spellEnd"/>
      <w:r w:rsidR="001C13A8">
        <w:rPr>
          <w:iCs/>
        </w:rPr>
        <w:t xml:space="preserve"> has four objectives: </w:t>
      </w:r>
    </w:p>
    <w:p w:rsidR="001C13A8" w:rsidP="001C13A8" w:rsidRDefault="0026436F" w14:paraId="6FAD9A63" w14:textId="5053159F">
      <w:pPr>
        <w:pStyle w:val="BodyText"/>
        <w:numPr>
          <w:ilvl w:val="0"/>
          <w:numId w:val="18"/>
        </w:numPr>
        <w:rPr>
          <w:iCs/>
        </w:rPr>
      </w:pPr>
      <w:r w:rsidRPr="001C13A8">
        <w:rPr>
          <w:iCs/>
        </w:rPr>
        <w:t>Improve regulatory cooperation between LATAM chemical industry associations and increase engagement in</w:t>
      </w:r>
      <w:r w:rsidR="00090961">
        <w:rPr>
          <w:iCs/>
        </w:rPr>
        <w:t xml:space="preserve"> </w:t>
      </w:r>
      <w:r w:rsidRPr="001C13A8">
        <w:rPr>
          <w:iCs/>
        </w:rPr>
        <w:t>projects in coordination with ICCA guidance and principles.</w:t>
      </w:r>
    </w:p>
    <w:p w:rsidR="001C13A8" w:rsidP="001C13A8" w:rsidRDefault="0026436F" w14:paraId="47F05416" w14:textId="1B027EAF">
      <w:pPr>
        <w:pStyle w:val="BodyText"/>
        <w:numPr>
          <w:ilvl w:val="0"/>
          <w:numId w:val="18"/>
        </w:numPr>
        <w:rPr>
          <w:iCs/>
        </w:rPr>
      </w:pPr>
      <w:r w:rsidRPr="001C13A8">
        <w:rPr>
          <w:iCs/>
        </w:rPr>
        <w:t>Leverage communication and information sharing on regulatory developments within regional industry network</w:t>
      </w:r>
      <w:r w:rsidR="00090961">
        <w:rPr>
          <w:iCs/>
        </w:rPr>
        <w:t>s</w:t>
      </w:r>
      <w:r w:rsidRPr="001C13A8">
        <w:rPr>
          <w:iCs/>
        </w:rPr>
        <w:t xml:space="preserve"> and promote capacity building initiatives for governments and industry national associations in Latin America related to key topics such as </w:t>
      </w:r>
      <w:proofErr w:type="spellStart"/>
      <w:r w:rsidRPr="001C13A8">
        <w:rPr>
          <w:iCs/>
        </w:rPr>
        <w:t>SAICM</w:t>
      </w:r>
      <w:proofErr w:type="spellEnd"/>
      <w:r w:rsidRPr="001C13A8">
        <w:rPr>
          <w:iCs/>
        </w:rPr>
        <w:t xml:space="preserve"> and OECD requirements.</w:t>
      </w:r>
    </w:p>
    <w:p w:rsidR="001C13A8" w:rsidP="001C13A8" w:rsidRDefault="0026436F" w14:paraId="78E35FE7" w14:textId="77777777">
      <w:pPr>
        <w:pStyle w:val="BodyText"/>
        <w:numPr>
          <w:ilvl w:val="0"/>
          <w:numId w:val="18"/>
        </w:numPr>
        <w:rPr>
          <w:iCs/>
        </w:rPr>
      </w:pPr>
      <w:r w:rsidRPr="001C13A8">
        <w:rPr>
          <w:iCs/>
        </w:rPr>
        <w:t xml:space="preserve">Establish an industry vision and roadmap for regulatory cooperation in order to support the implementation of chemical management systems by governments in Latin America. </w:t>
      </w:r>
    </w:p>
    <w:p w:rsidRPr="007F7BBC" w:rsidR="00EC0FB3" w:rsidP="007F7BBC" w:rsidRDefault="0026436F" w14:paraId="41F8D248" w14:textId="21826C52">
      <w:pPr>
        <w:pStyle w:val="BodyText"/>
        <w:numPr>
          <w:ilvl w:val="0"/>
          <w:numId w:val="18"/>
        </w:numPr>
        <w:rPr>
          <w:iCs/>
        </w:rPr>
      </w:pPr>
      <w:r w:rsidRPr="001C13A8">
        <w:rPr>
          <w:iCs/>
        </w:rPr>
        <w:t xml:space="preserve">Support the Latin America Chemical Industry National Associations on alignment of positions on key international regulatory issues, such as the Sound Management of Chemicals, through a trust building dialogue with government and international bodies. </w:t>
      </w:r>
    </w:p>
    <w:p w:rsidRPr="00F51F5C" w:rsidR="005B65F2" w:rsidP="00F51F5C" w:rsidRDefault="000749A2" w14:paraId="5A54E1CA" w14:textId="13B50A1B">
      <w:pPr>
        <w:pStyle w:val="Heading2"/>
        <w:tabs>
          <w:tab w:val="clear" w:pos="1440"/>
          <w:tab w:val="num" w:pos="540"/>
        </w:tabs>
        <w:ind w:left="540" w:hanging="540"/>
        <w:rPr>
          <w:b/>
        </w:rPr>
      </w:pPr>
      <w:bookmarkStart w:name="_Toc55375569" w:id="14"/>
      <w:r w:rsidRPr="00F51F5C">
        <w:rPr>
          <w:b/>
        </w:rPr>
        <w:t>Multilateral</w:t>
      </w:r>
      <w:r w:rsidRPr="00F51F5C" w:rsidR="00B04D46">
        <w:rPr>
          <w:b/>
        </w:rPr>
        <w:t xml:space="preserve"> Cooperation</w:t>
      </w:r>
      <w:bookmarkEnd w:id="14"/>
    </w:p>
    <w:p w:rsidRPr="00F51F5C" w:rsidR="006D6CDE" w:rsidP="00F51F5C" w:rsidRDefault="00E60021" w14:paraId="5A54E1CC" w14:textId="1CF0DDCD">
      <w:pPr>
        <w:pStyle w:val="Heading3"/>
        <w:tabs>
          <w:tab w:val="clear" w:pos="2160"/>
        </w:tabs>
        <w:ind w:left="540" w:hanging="540"/>
        <w:rPr>
          <w:b/>
          <w:u w:val="single"/>
        </w:rPr>
      </w:pPr>
      <w:bookmarkStart w:name="_Toc55375570" w:id="15"/>
      <w:r w:rsidRPr="00F51F5C">
        <w:rPr>
          <w:b/>
          <w:u w:val="single"/>
        </w:rPr>
        <w:t>OECD Mutual Acceptance of Data</w:t>
      </w:r>
      <w:bookmarkEnd w:id="15"/>
    </w:p>
    <w:p w:rsidR="00EC0FB3" w:rsidP="00EC0FB3" w:rsidRDefault="00EC0FB3" w14:paraId="5FA92EE0" w14:textId="77777777">
      <w:pPr>
        <w:pStyle w:val="BodyText"/>
        <w:spacing w:after="0"/>
        <w:ind w:firstLine="0"/>
        <w:rPr>
          <w:bCs/>
        </w:rPr>
      </w:pPr>
      <w:r>
        <w:rPr>
          <w:bCs/>
        </w:rPr>
        <w:t xml:space="preserve">The OECD MAD system </w:t>
      </w:r>
      <w:proofErr w:type="spellStart"/>
      <w:r>
        <w:rPr>
          <w:bCs/>
        </w:rPr>
        <w:t>harmonises</w:t>
      </w:r>
      <w:proofErr w:type="spellEnd"/>
      <w:r>
        <w:rPr>
          <w:bCs/>
        </w:rPr>
        <w:t xml:space="preserve"> n</w:t>
      </w:r>
      <w:r w:rsidRPr="00B16103">
        <w:rPr>
          <w:bCs/>
        </w:rPr>
        <w:t xml:space="preserve">ational approaches to </w:t>
      </w:r>
      <w:r>
        <w:rPr>
          <w:bCs/>
        </w:rPr>
        <w:t xml:space="preserve">the creation of chemical hazard test study data that underpins </w:t>
      </w:r>
      <w:r w:rsidRPr="00B16103">
        <w:rPr>
          <w:bCs/>
        </w:rPr>
        <w:t xml:space="preserve">chemical </w:t>
      </w:r>
      <w:r>
        <w:rPr>
          <w:bCs/>
        </w:rPr>
        <w:t>risk assessment</w:t>
      </w:r>
      <w:r w:rsidRPr="00B16103">
        <w:rPr>
          <w:bCs/>
        </w:rPr>
        <w:t>,</w:t>
      </w:r>
      <w:r>
        <w:rPr>
          <w:bCs/>
        </w:rPr>
        <w:t xml:space="preserve"> so that</w:t>
      </w:r>
      <w:r w:rsidRPr="00B16103">
        <w:rPr>
          <w:bCs/>
        </w:rPr>
        <w:t xml:space="preserve"> industry is not faced with a plethora of conflicting or duplicative requirements, governments are provided with a common basis for working with each other, and non-tariff barriers to trade are reduced. The principal tools for </w:t>
      </w:r>
      <w:proofErr w:type="spellStart"/>
      <w:r w:rsidRPr="00B16103">
        <w:rPr>
          <w:bCs/>
        </w:rPr>
        <w:t>harmonisation</w:t>
      </w:r>
      <w:proofErr w:type="spellEnd"/>
      <w:r w:rsidRPr="00B16103">
        <w:rPr>
          <w:bCs/>
        </w:rPr>
        <w:t xml:space="preserve"> are a set of OECD Council Decisions which make up the OECD Mutual Acceptance of Data (MAD) system, including its OECD Guidelines for the Testing of Chemicals and OECD Principles of Good Laboratory Practice (</w:t>
      </w:r>
      <w:proofErr w:type="spellStart"/>
      <w:r w:rsidRPr="00B16103">
        <w:rPr>
          <w:bCs/>
        </w:rPr>
        <w:t>GLP</w:t>
      </w:r>
      <w:proofErr w:type="spellEnd"/>
      <w:r w:rsidRPr="00B16103">
        <w:rPr>
          <w:bCs/>
        </w:rPr>
        <w:t>).</w:t>
      </w:r>
    </w:p>
    <w:p w:rsidR="00EC0FB3" w:rsidP="00EC0FB3" w:rsidRDefault="00EC0FB3" w14:paraId="787822A2" w14:textId="77777777">
      <w:pPr>
        <w:pStyle w:val="BodyText"/>
        <w:spacing w:after="0"/>
        <w:ind w:firstLine="0"/>
        <w:rPr>
          <w:bCs/>
        </w:rPr>
      </w:pPr>
    </w:p>
    <w:p w:rsidR="00EC0FB3" w:rsidP="00EC0FB3" w:rsidRDefault="00EC0FB3" w14:paraId="33D5AA32" w14:textId="49C2B765">
      <w:pPr>
        <w:pStyle w:val="BodyText"/>
        <w:spacing w:after="0"/>
        <w:ind w:firstLine="0"/>
        <w:rPr>
          <w:bCs/>
        </w:rPr>
      </w:pPr>
      <w:r>
        <w:rPr>
          <w:bCs/>
        </w:rPr>
        <w:t xml:space="preserve">The </w:t>
      </w:r>
      <w:r w:rsidRPr="00B16103">
        <w:rPr>
          <w:bCs/>
        </w:rPr>
        <w:t>MAD criteria for non-clinical health and safety test stud</w:t>
      </w:r>
      <w:r>
        <w:rPr>
          <w:bCs/>
        </w:rPr>
        <w:t>ies are:</w:t>
      </w:r>
    </w:p>
    <w:p w:rsidRPr="00B16103" w:rsidR="00090961" w:rsidP="00EC0FB3" w:rsidRDefault="00090961" w14:paraId="4E0283E5" w14:textId="77777777">
      <w:pPr>
        <w:pStyle w:val="BodyText"/>
        <w:spacing w:after="0"/>
        <w:ind w:firstLine="0"/>
        <w:rPr>
          <w:bCs/>
        </w:rPr>
      </w:pPr>
    </w:p>
    <w:p w:rsidRPr="00096099" w:rsidR="008C05C9" w:rsidP="00751416" w:rsidRDefault="00EC0FB3" w14:paraId="641A8D93" w14:textId="200219D0">
      <w:pPr>
        <w:pStyle w:val="BodyText"/>
        <w:numPr>
          <w:ilvl w:val="0"/>
          <w:numId w:val="30"/>
        </w:numPr>
        <w:spacing w:after="0"/>
        <w:rPr>
          <w:bCs/>
        </w:rPr>
      </w:pPr>
      <w:r w:rsidRPr="00B16103">
        <w:rPr>
          <w:bCs/>
        </w:rPr>
        <w:t>The study must have been conducted according to OECD Test Guide</w:t>
      </w:r>
      <w:r>
        <w:rPr>
          <w:bCs/>
        </w:rPr>
        <w:t>l</w:t>
      </w:r>
      <w:r w:rsidRPr="00B16103">
        <w:rPr>
          <w:bCs/>
        </w:rPr>
        <w:t xml:space="preserve">ines and OECD Principles of </w:t>
      </w:r>
      <w:proofErr w:type="spellStart"/>
      <w:r w:rsidRPr="00B16103">
        <w:rPr>
          <w:bCs/>
        </w:rPr>
        <w:t>GLP</w:t>
      </w:r>
      <w:proofErr w:type="spellEnd"/>
      <w:r w:rsidR="008C05C9">
        <w:rPr>
          <w:bCs/>
        </w:rPr>
        <w:t>;</w:t>
      </w:r>
    </w:p>
    <w:p w:rsidRPr="00B16103" w:rsidR="008C05C9" w:rsidP="00751416" w:rsidRDefault="00EC0FB3" w14:paraId="74ABE8FE" w14:textId="56044955">
      <w:pPr>
        <w:pStyle w:val="BodyText"/>
        <w:numPr>
          <w:ilvl w:val="0"/>
          <w:numId w:val="30"/>
        </w:numPr>
        <w:spacing w:after="0"/>
        <w:rPr>
          <w:bCs/>
        </w:rPr>
      </w:pPr>
      <w:r w:rsidRPr="00B16103">
        <w:rPr>
          <w:bCs/>
        </w:rPr>
        <w:t xml:space="preserve">The study must have been conducted in a test facility which has been inspected by a national </w:t>
      </w:r>
      <w:proofErr w:type="spellStart"/>
      <w:r w:rsidRPr="00B16103">
        <w:rPr>
          <w:bCs/>
        </w:rPr>
        <w:t>GLP</w:t>
      </w:r>
      <w:proofErr w:type="spellEnd"/>
      <w:r w:rsidRPr="00B16103">
        <w:rPr>
          <w:bCs/>
        </w:rPr>
        <w:t xml:space="preserve"> compliance monitoring </w:t>
      </w:r>
      <w:proofErr w:type="spellStart"/>
      <w:r w:rsidRPr="00B16103">
        <w:rPr>
          <w:bCs/>
        </w:rPr>
        <w:t>programme</w:t>
      </w:r>
      <w:proofErr w:type="spellEnd"/>
      <w:r w:rsidRPr="00B16103">
        <w:rPr>
          <w:bCs/>
        </w:rPr>
        <w:t xml:space="preserve"> and;</w:t>
      </w:r>
    </w:p>
    <w:p w:rsidRPr="00751416" w:rsidR="00EC0FB3" w:rsidP="00751416" w:rsidRDefault="00EC0FB3" w14:paraId="265AF381" w14:textId="7D7E2D8C">
      <w:pPr>
        <w:pStyle w:val="BodyText"/>
        <w:numPr>
          <w:ilvl w:val="0"/>
          <w:numId w:val="30"/>
        </w:numPr>
        <w:spacing w:after="0"/>
        <w:rPr>
          <w:bCs/>
        </w:rPr>
      </w:pPr>
      <w:r w:rsidRPr="00096099">
        <w:rPr>
          <w:bCs/>
        </w:rPr>
        <w:t xml:space="preserve">The national </w:t>
      </w:r>
      <w:proofErr w:type="spellStart"/>
      <w:r w:rsidRPr="00096099">
        <w:rPr>
          <w:bCs/>
        </w:rPr>
        <w:t>GLP</w:t>
      </w:r>
      <w:proofErr w:type="spellEnd"/>
      <w:r w:rsidRPr="00096099">
        <w:rPr>
          <w:bCs/>
        </w:rPr>
        <w:t xml:space="preserve"> compliance monitoring </w:t>
      </w:r>
      <w:proofErr w:type="spellStart"/>
      <w:r w:rsidRPr="00096099">
        <w:rPr>
          <w:bCs/>
        </w:rPr>
        <w:t>programme</w:t>
      </w:r>
      <w:proofErr w:type="spellEnd"/>
      <w:r w:rsidRPr="00096099">
        <w:rPr>
          <w:bCs/>
        </w:rPr>
        <w:t xml:space="preserve"> must have undergone a successful evaluation by </w:t>
      </w:r>
      <w:r w:rsidRPr="00751416">
        <w:rPr>
          <w:bCs/>
        </w:rPr>
        <w:t>the OECD.</w:t>
      </w:r>
    </w:p>
    <w:p w:rsidRPr="00B16103" w:rsidR="00EC0FB3" w:rsidP="00EC0FB3" w:rsidRDefault="00EC0FB3" w14:paraId="0A3C605A" w14:textId="77777777">
      <w:pPr>
        <w:pStyle w:val="BodyText"/>
        <w:spacing w:after="0"/>
        <w:ind w:firstLine="0"/>
        <w:rPr>
          <w:bCs/>
        </w:rPr>
      </w:pPr>
    </w:p>
    <w:p w:rsidRPr="00402CE0" w:rsidR="00EC0FB3" w:rsidP="00EC0FB3" w:rsidRDefault="00EC0FB3" w14:paraId="494910EC" w14:textId="77777777">
      <w:pPr>
        <w:pStyle w:val="BodyText"/>
        <w:spacing w:after="0"/>
        <w:ind w:firstLine="0"/>
        <w:rPr>
          <w:bCs/>
        </w:rPr>
      </w:pPr>
      <w:r w:rsidRPr="00B16103">
        <w:rPr>
          <w:bCs/>
        </w:rPr>
        <w:t>If all three criteria are met, all OECD member countries</w:t>
      </w:r>
      <w:r>
        <w:rPr>
          <w:bCs/>
        </w:rPr>
        <w:t>,</w:t>
      </w:r>
      <w:r w:rsidRPr="00B16103">
        <w:rPr>
          <w:bCs/>
        </w:rPr>
        <w:t xml:space="preserve"> as well as adherents to MAD</w:t>
      </w:r>
      <w:r>
        <w:rPr>
          <w:bCs/>
        </w:rPr>
        <w:t>,</w:t>
      </w:r>
      <w:r w:rsidRPr="00B16103">
        <w:rPr>
          <w:bCs/>
        </w:rPr>
        <w:t xml:space="preserve"> must accept the study data.</w:t>
      </w:r>
    </w:p>
    <w:p w:rsidR="00EC0FB3" w:rsidP="00EC0FB3" w:rsidRDefault="00EC0FB3" w14:paraId="131AF85E" w14:textId="77777777">
      <w:pPr>
        <w:pStyle w:val="BodyText"/>
        <w:spacing w:after="0"/>
        <w:ind w:firstLine="0"/>
        <w:rPr>
          <w:bCs/>
        </w:rPr>
      </w:pPr>
    </w:p>
    <w:p w:rsidRPr="00194F69" w:rsidR="00EC0FB3" w:rsidP="00194F69" w:rsidRDefault="00EC0FB3" w14:paraId="0CB6DE55" w14:textId="77777777">
      <w:pPr>
        <w:pStyle w:val="BodyText"/>
        <w:ind w:firstLine="0"/>
        <w:contextualSpacing/>
        <w:rPr>
          <w:b/>
          <w:i/>
        </w:rPr>
      </w:pPr>
      <w:r w:rsidRPr="00194F69">
        <w:rPr>
          <w:b/>
          <w:i/>
        </w:rPr>
        <w:t xml:space="preserve">Best Practices: </w:t>
      </w:r>
    </w:p>
    <w:p w:rsidR="00EC0FB3" w:rsidP="00EC0FB3" w:rsidRDefault="00EC0FB3" w14:paraId="5E7C0E7C" w14:textId="02165E07">
      <w:pPr>
        <w:pStyle w:val="BodyText"/>
        <w:numPr>
          <w:ilvl w:val="0"/>
          <w:numId w:val="16"/>
        </w:numPr>
        <w:spacing w:after="0"/>
        <w:rPr>
          <w:bCs/>
        </w:rPr>
      </w:pPr>
      <w:proofErr w:type="spellStart"/>
      <w:r>
        <w:rPr>
          <w:bCs/>
        </w:rPr>
        <w:t>Utilising</w:t>
      </w:r>
      <w:proofErr w:type="spellEnd"/>
      <w:r w:rsidRPr="00B16103">
        <w:rPr>
          <w:bCs/>
        </w:rPr>
        <w:t xml:space="preserve"> relevant international standards wherever possible</w:t>
      </w:r>
      <w:r>
        <w:rPr>
          <w:bCs/>
        </w:rPr>
        <w:t xml:space="preserve"> to create data from hazard assessment studies, based on mutually agreed test study guidelines</w:t>
      </w:r>
      <w:r w:rsidR="008C05C9">
        <w:rPr>
          <w:bCs/>
        </w:rPr>
        <w:t>.</w:t>
      </w:r>
    </w:p>
    <w:p w:rsidR="00EC0FB3" w:rsidP="00EC0FB3" w:rsidRDefault="00EC0FB3" w14:paraId="5844A04F" w14:textId="77777777">
      <w:pPr>
        <w:pStyle w:val="BodyText"/>
        <w:numPr>
          <w:ilvl w:val="0"/>
          <w:numId w:val="16"/>
        </w:numPr>
        <w:spacing w:after="0"/>
        <w:rPr>
          <w:bCs/>
        </w:rPr>
      </w:pPr>
      <w:r>
        <w:rPr>
          <w:bCs/>
        </w:rPr>
        <w:t>Reducing the impact of chemical regulation on</w:t>
      </w:r>
      <w:r w:rsidRPr="00B16103">
        <w:rPr>
          <w:bCs/>
        </w:rPr>
        <w:t xml:space="preserve"> international trade flows</w:t>
      </w:r>
      <w:r>
        <w:rPr>
          <w:bCs/>
        </w:rPr>
        <w:t xml:space="preserve"> by ensuring regulators assess chemicals using the same, science-based hazard-based study data.</w:t>
      </w:r>
    </w:p>
    <w:p w:rsidR="00EC0FB3" w:rsidP="00EC0FB3" w:rsidRDefault="00EC0FB3" w14:paraId="5BC6DACD" w14:textId="33CA857E">
      <w:pPr>
        <w:pStyle w:val="BodyText"/>
        <w:numPr>
          <w:ilvl w:val="0"/>
          <w:numId w:val="16"/>
        </w:numPr>
        <w:spacing w:after="0"/>
        <w:rPr>
          <w:bCs/>
        </w:rPr>
      </w:pPr>
      <w:r>
        <w:rPr>
          <w:bCs/>
        </w:rPr>
        <w:t>C</w:t>
      </w:r>
      <w:r w:rsidRPr="00F663CC">
        <w:rPr>
          <w:bCs/>
        </w:rPr>
        <w:t>hemical regulations should have a clear delineation of regulatory responsibilities and effective and transparent accountability mechanisms</w:t>
      </w:r>
      <w:r>
        <w:rPr>
          <w:bCs/>
        </w:rPr>
        <w:t xml:space="preserve"> – this is achieved by separating the creation of study data from the subsequent chemical assessment process, and requiring test facilities to adhere to </w:t>
      </w:r>
      <w:proofErr w:type="spellStart"/>
      <w:r>
        <w:rPr>
          <w:bCs/>
        </w:rPr>
        <w:t>GLP</w:t>
      </w:r>
      <w:proofErr w:type="spellEnd"/>
      <w:r>
        <w:rPr>
          <w:bCs/>
        </w:rPr>
        <w:t xml:space="preserve"> requirements and be independently audited.</w:t>
      </w:r>
    </w:p>
    <w:p w:rsidR="00EC0FB3" w:rsidP="00EC0FB3" w:rsidRDefault="00EC0FB3" w14:paraId="37F7AD92" w14:textId="77777777">
      <w:pPr>
        <w:pStyle w:val="BodyText"/>
        <w:spacing w:after="0"/>
        <w:ind w:left="720" w:firstLine="0"/>
        <w:rPr>
          <w:bCs/>
        </w:rPr>
      </w:pPr>
    </w:p>
    <w:p w:rsidR="00194F69" w:rsidP="00751416" w:rsidRDefault="00194F69" w14:paraId="37904AFA" w14:textId="77777777">
      <w:pPr>
        <w:pStyle w:val="BodyText"/>
        <w:spacing w:after="0"/>
        <w:ind w:firstLine="0"/>
        <w:rPr>
          <w:bCs/>
        </w:rPr>
      </w:pPr>
    </w:p>
    <w:p w:rsidRPr="00F51F5C" w:rsidR="00E60021" w:rsidP="00F51F5C" w:rsidRDefault="00E60021" w14:paraId="5A54E1D2" w14:textId="6ACB7A37">
      <w:pPr>
        <w:pStyle w:val="Heading2"/>
        <w:tabs>
          <w:tab w:val="clear" w:pos="1440"/>
          <w:tab w:val="num" w:pos="540"/>
        </w:tabs>
        <w:ind w:left="540" w:hanging="540"/>
        <w:rPr>
          <w:b/>
        </w:rPr>
      </w:pPr>
      <w:bookmarkStart w:name="_Toc55375571" w:id="16"/>
      <w:r w:rsidRPr="00F51F5C">
        <w:rPr>
          <w:b/>
        </w:rPr>
        <w:t>Global Cooperation</w:t>
      </w:r>
      <w:bookmarkEnd w:id="16"/>
    </w:p>
    <w:p w:rsidRPr="00F51F5C" w:rsidR="00F51F5C" w:rsidP="00F51F5C" w:rsidRDefault="00F51F5C" w14:paraId="424A7641" w14:textId="77777777">
      <w:pPr>
        <w:pStyle w:val="Heading3"/>
        <w:tabs>
          <w:tab w:val="clear" w:pos="2160"/>
          <w:tab w:val="num" w:pos="540"/>
        </w:tabs>
        <w:ind w:left="540" w:hanging="540"/>
        <w:rPr>
          <w:b/>
          <w:u w:val="single"/>
        </w:rPr>
      </w:pPr>
      <w:bookmarkStart w:name="_Toc55375572" w:id="17"/>
      <w:r w:rsidRPr="00F51F5C">
        <w:rPr>
          <w:b/>
          <w:u w:val="single"/>
        </w:rPr>
        <w:t>Strategic Approach to International Chemicals Management (</w:t>
      </w:r>
      <w:proofErr w:type="spellStart"/>
      <w:r w:rsidRPr="00F51F5C">
        <w:rPr>
          <w:b/>
          <w:u w:val="single"/>
        </w:rPr>
        <w:t>SAICM</w:t>
      </w:r>
      <w:proofErr w:type="spellEnd"/>
      <w:r w:rsidRPr="00F51F5C">
        <w:rPr>
          <w:b/>
          <w:u w:val="single"/>
        </w:rPr>
        <w:t>)</w:t>
      </w:r>
      <w:bookmarkEnd w:id="17"/>
      <w:r w:rsidRPr="00F51F5C">
        <w:rPr>
          <w:b/>
          <w:u w:val="single"/>
        </w:rPr>
        <w:t xml:space="preserve"> </w:t>
      </w:r>
    </w:p>
    <w:p w:rsidR="004F3A9F" w:rsidP="00EE2EEA" w:rsidRDefault="00F51F5C" w14:paraId="723841FF" w14:textId="183A9681">
      <w:pPr>
        <w:pStyle w:val="BodyText"/>
        <w:ind w:firstLine="0"/>
        <w:rPr>
          <w:bCs/>
        </w:rPr>
      </w:pPr>
      <w:proofErr w:type="spellStart"/>
      <w:r>
        <w:rPr>
          <w:bCs/>
        </w:rPr>
        <w:t>SAICM</w:t>
      </w:r>
      <w:proofErr w:type="spellEnd"/>
      <w:r w:rsidRPr="0053650E" w:rsidR="0053650E">
        <w:rPr>
          <w:bCs/>
        </w:rPr>
        <w:t xml:space="preserve"> is a multi-stakeholder, multi-sector forum to achieve the sound management of ch</w:t>
      </w:r>
      <w:r w:rsidR="0053650E">
        <w:rPr>
          <w:bCs/>
        </w:rPr>
        <w:t xml:space="preserve">emicals and waste by 2020. One of </w:t>
      </w:r>
      <w:proofErr w:type="spellStart"/>
      <w:r w:rsidR="0053650E">
        <w:rPr>
          <w:bCs/>
        </w:rPr>
        <w:t>SAICM’s</w:t>
      </w:r>
      <w:proofErr w:type="spellEnd"/>
      <w:r w:rsidR="0053650E">
        <w:rPr>
          <w:bCs/>
        </w:rPr>
        <w:t xml:space="preserve"> primary objectives is the development and enforcement of chemical management systems around the globe.</w:t>
      </w:r>
      <w:r w:rsidR="00AE1AAF">
        <w:rPr>
          <w:bCs/>
        </w:rPr>
        <w:t xml:space="preserve"> Through information sharing, exchange of best practices, capacity building, and other activities, </w:t>
      </w:r>
      <w:proofErr w:type="spellStart"/>
      <w:r w:rsidR="00AE1AAF">
        <w:rPr>
          <w:bCs/>
        </w:rPr>
        <w:t>SAICM</w:t>
      </w:r>
      <w:proofErr w:type="spellEnd"/>
      <w:r w:rsidR="00AE1AAF">
        <w:rPr>
          <w:bCs/>
        </w:rPr>
        <w:t xml:space="preserve"> provides a forum for greater regulatory cooperation. Additionally, through the Emerging Policy Issue (EPI), </w:t>
      </w:r>
      <w:proofErr w:type="spellStart"/>
      <w:r w:rsidR="00AE1AAF">
        <w:rPr>
          <w:bCs/>
        </w:rPr>
        <w:t>SAICM</w:t>
      </w:r>
      <w:proofErr w:type="spellEnd"/>
      <w:r w:rsidR="00AE1AAF">
        <w:rPr>
          <w:bCs/>
        </w:rPr>
        <w:t xml:space="preserve"> provides an opportunity for governments and stakeholders to work together closely on policy options to address issues of concern, such as lead in paint. </w:t>
      </w:r>
    </w:p>
    <w:p w:rsidRPr="00194F69" w:rsidR="004F3A9F" w:rsidP="00EE2EEA" w:rsidRDefault="004F3A9F" w14:paraId="0F0574F2" w14:textId="7CD19FCF">
      <w:pPr>
        <w:pStyle w:val="BodyText"/>
        <w:ind w:firstLine="0"/>
        <w:rPr>
          <w:b/>
          <w:i/>
        </w:rPr>
      </w:pPr>
      <w:r w:rsidRPr="00194F69">
        <w:rPr>
          <w:b/>
          <w:i/>
        </w:rPr>
        <w:t>Best Practices</w:t>
      </w:r>
      <w:r w:rsidRPr="00194F69" w:rsidR="00194F69">
        <w:rPr>
          <w:b/>
          <w:i/>
        </w:rPr>
        <w:t>:</w:t>
      </w:r>
    </w:p>
    <w:p w:rsidRPr="00C81AD8" w:rsidR="00B117B2" w:rsidP="00B117B2" w:rsidRDefault="00B117B2" w14:paraId="4A09F072" w14:textId="7D06BA07">
      <w:pPr>
        <w:pStyle w:val="BodyText"/>
        <w:ind w:firstLine="0"/>
        <w:rPr>
          <w:bCs/>
        </w:rPr>
      </w:pPr>
      <w:r w:rsidRPr="00C81AD8">
        <w:rPr>
          <w:bCs/>
        </w:rPr>
        <w:t>Lead is a human health hazard, and lead paint is a significant source of exposure, in particular for children and workers. More than 60% of countries, mostly lower</w:t>
      </w:r>
      <w:r w:rsidR="00815777">
        <w:rPr>
          <w:bCs/>
        </w:rPr>
        <w:t xml:space="preserve"> </w:t>
      </w:r>
      <w:r w:rsidRPr="00C81AD8">
        <w:rPr>
          <w:bCs/>
        </w:rPr>
        <w:t>and middle-income countries, still allow lead paint, and paint with extremely high levels is found wherever testing is conducted there.  To address this global issue, the International Conference on Chemicals Management (</w:t>
      </w:r>
      <w:proofErr w:type="spellStart"/>
      <w:r w:rsidRPr="00C81AD8">
        <w:rPr>
          <w:bCs/>
        </w:rPr>
        <w:t>ICCM</w:t>
      </w:r>
      <w:proofErr w:type="spellEnd"/>
      <w:r w:rsidRPr="00C81AD8">
        <w:rPr>
          <w:bCs/>
        </w:rPr>
        <w:t>) at its second session in 2009</w:t>
      </w:r>
      <w:r w:rsidR="00815777">
        <w:rPr>
          <w:bCs/>
        </w:rPr>
        <w:t>,</w:t>
      </w:r>
      <w:r w:rsidRPr="00C81AD8">
        <w:rPr>
          <w:bCs/>
        </w:rPr>
        <w:t xml:space="preserve"> identified lead paint as an emerging policy issue under the Strategic Approach to International Chemicals Management (</w:t>
      </w:r>
      <w:proofErr w:type="spellStart"/>
      <w:r w:rsidRPr="00C81AD8">
        <w:rPr>
          <w:bCs/>
        </w:rPr>
        <w:t>SAICM</w:t>
      </w:r>
      <w:proofErr w:type="spellEnd"/>
      <w:r w:rsidRPr="00C81AD8">
        <w:rPr>
          <w:bCs/>
        </w:rPr>
        <w:t xml:space="preserve">) framework. The </w:t>
      </w:r>
      <w:proofErr w:type="spellStart"/>
      <w:r w:rsidRPr="00C81AD8">
        <w:rPr>
          <w:bCs/>
        </w:rPr>
        <w:t>ICCM</w:t>
      </w:r>
      <w:proofErr w:type="spellEnd"/>
      <w:r w:rsidRPr="00C81AD8">
        <w:rPr>
          <w:bCs/>
        </w:rPr>
        <w:t xml:space="preserve">, at its third to fourth sessions, continued to affirm the goal of eliminating lead paint and in 2011 mandated the creation of the </w:t>
      </w:r>
      <w:hyperlink w:history="1" r:id="rId14">
        <w:r w:rsidRPr="00C81AD8">
          <w:rPr>
            <w:rStyle w:val="Hyperlink"/>
            <w:bCs/>
          </w:rPr>
          <w:t>Global Alliance to Eliminate Lead Paint</w:t>
        </w:r>
      </w:hyperlink>
      <w:r w:rsidRPr="00C81AD8">
        <w:rPr>
          <w:bCs/>
        </w:rPr>
        <w:t xml:space="preserve"> (Lead Paint Alliance). </w:t>
      </w:r>
    </w:p>
    <w:p w:rsidRPr="00C81AD8" w:rsidR="00B117B2" w:rsidP="00B117B2" w:rsidRDefault="00B117B2" w14:paraId="7A5A14E9" w14:textId="15FB19AA">
      <w:pPr>
        <w:pStyle w:val="BodyText"/>
        <w:ind w:firstLine="0"/>
        <w:rPr>
          <w:bCs/>
        </w:rPr>
      </w:pPr>
      <w:r w:rsidRPr="00C81AD8">
        <w:rPr>
          <w:bCs/>
        </w:rPr>
        <w:t>The Lead Paint Alliance</w:t>
      </w:r>
      <w:r w:rsidR="00815777">
        <w:rPr>
          <w:bCs/>
        </w:rPr>
        <w:t>, a</w:t>
      </w:r>
      <w:r w:rsidRPr="00C81AD8">
        <w:rPr>
          <w:bCs/>
        </w:rPr>
        <w:t xml:space="preserve"> joint initiative led by the United Nations Environment Programme (UNEP) and the World Health Organization (WHO), established a global Advisory Council chaired by the U</w:t>
      </w:r>
      <w:r w:rsidR="00815777">
        <w:rPr>
          <w:bCs/>
        </w:rPr>
        <w:t>.</w:t>
      </w:r>
      <w:r w:rsidRPr="00C81AD8">
        <w:rPr>
          <w:bCs/>
        </w:rPr>
        <w:t>S</w:t>
      </w:r>
      <w:r w:rsidR="00815777">
        <w:rPr>
          <w:bCs/>
        </w:rPr>
        <w:t>.</w:t>
      </w:r>
      <w:r w:rsidRPr="00C81AD8">
        <w:rPr>
          <w:bCs/>
        </w:rPr>
        <w:t xml:space="preserve"> Environment Protection Agency (USEPA). The work of the Alliance aims to support the introduction of laws on phasing out the manufacture, import and sale of paints containing lead and eventually to eliminate the risks from such paint.  The Alliance has also demonstrated that there are technically feasible alternatives to lead paint available in developing countries at costs comparable to paint with lead and that the production of paint without added lead is possible. </w:t>
      </w:r>
    </w:p>
    <w:p w:rsidRPr="00C81AD8" w:rsidR="00B117B2" w:rsidP="00B117B2" w:rsidRDefault="00B117B2" w14:paraId="6CE12421" w14:textId="33B12386">
      <w:pPr>
        <w:pStyle w:val="BodyText"/>
        <w:ind w:firstLine="0"/>
        <w:rPr>
          <w:bCs/>
        </w:rPr>
      </w:pPr>
      <w:r w:rsidRPr="00C81AD8">
        <w:rPr>
          <w:bCs/>
        </w:rPr>
        <w:t>The only way to effectively eliminate lead paint is to enact lead paint laws. The Alliance has found that countries with lead paint laws have paint with low levels of lead.</w:t>
      </w:r>
      <w:r w:rsidR="00594AE8">
        <w:rPr>
          <w:bCs/>
        </w:rPr>
        <w:t xml:space="preserve"> </w:t>
      </w:r>
      <w:r w:rsidRPr="00C81AD8">
        <w:rPr>
          <w:bCs/>
        </w:rPr>
        <w:t xml:space="preserve">To help countries establish laws, the Alliance developed the </w:t>
      </w:r>
      <w:hyperlink w:history="1" r:id="rId15">
        <w:r w:rsidRPr="00C81AD8">
          <w:rPr>
            <w:rStyle w:val="Hyperlink"/>
            <w:bCs/>
          </w:rPr>
          <w:t>Model Law and Guidance for Regulating Lead Paint (Model Law)</w:t>
        </w:r>
      </w:hyperlink>
      <w:r w:rsidRPr="00C81AD8">
        <w:rPr>
          <w:bCs/>
        </w:rPr>
        <w:t xml:space="preserve">, which provides a template for lead paint laws that can be customized to address country-specific legal frameworks. The </w:t>
      </w:r>
      <w:r w:rsidRPr="00C81AD8">
        <w:rPr>
          <w:bCs/>
        </w:rPr>
        <w:lastRenderedPageBreak/>
        <w:t>Model Law promotes eliminating lead from all paints and establishing a lead concentration limit of 90 ppm.  It is supported by a broad coalition of governments, industry, and environmental groups.</w:t>
      </w:r>
    </w:p>
    <w:p w:rsidRPr="00C81AD8" w:rsidR="00B117B2" w:rsidP="00B117B2" w:rsidRDefault="00B117B2" w14:paraId="1433FF00" w14:textId="6BF2263A">
      <w:pPr>
        <w:pStyle w:val="BodyText"/>
        <w:ind w:firstLine="0"/>
        <w:rPr>
          <w:bCs/>
        </w:rPr>
      </w:pPr>
      <w:r w:rsidRPr="00C81AD8">
        <w:rPr>
          <w:bCs/>
        </w:rPr>
        <w:t xml:space="preserve">The Lead Paint Alliance is working with countries to establish laws for all types of paint as the most effective way to eliminate lead paint. Currently only 76 (less than 40%) countries have lead paint laws (see </w:t>
      </w:r>
      <w:hyperlink w:history="1" r:id="rId16">
        <w:r w:rsidRPr="00C81AD8">
          <w:rPr>
            <w:rStyle w:val="Hyperlink"/>
            <w:bCs/>
          </w:rPr>
          <w:t>UNEP map</w:t>
        </w:r>
      </w:hyperlink>
      <w:r w:rsidRPr="00C81AD8">
        <w:rPr>
          <w:bCs/>
        </w:rPr>
        <w:t xml:space="preserve">), and not all of these regulate all types of paint.  Nevertheless, momentum is growing as more and more countries work toward </w:t>
      </w:r>
      <w:r w:rsidR="00594AE8">
        <w:rPr>
          <w:bCs/>
        </w:rPr>
        <w:t xml:space="preserve">establishing </w:t>
      </w:r>
      <w:r w:rsidRPr="00C81AD8">
        <w:rPr>
          <w:bCs/>
        </w:rPr>
        <w:t>laws.  In Asia, China recently lowered existing lead limits for some paints, and Vietnam, Cambodia and Laos are developing lead paint laws.</w:t>
      </w:r>
    </w:p>
    <w:p w:rsidRPr="00C81AD8" w:rsidR="004F3A9F" w:rsidP="00B117B2" w:rsidRDefault="004F3A9F" w14:paraId="2595ED60" w14:textId="4B1585E4">
      <w:pPr>
        <w:pStyle w:val="BodyText"/>
        <w:ind w:firstLine="0"/>
        <w:rPr>
          <w:bCs/>
        </w:rPr>
      </w:pPr>
    </w:p>
    <w:sectPr w:rsidRPr="00C81AD8" w:rsidR="004F3A9F" w:rsidSect="00A741E0">
      <w:headerReference w:type="default" r:id="rId17"/>
      <w:footerReference w:type="even" r:id="rId18"/>
      <w:footerReference w:type="default" r:id="rId19"/>
      <w:footerReference w:type="first" r:id="rId20"/>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1FF" w:rsidP="000B75D1" w:rsidRDefault="00F921FF" w14:paraId="20E17A19" w14:textId="77777777">
      <w:r>
        <w:separator/>
      </w:r>
    </w:p>
  </w:endnote>
  <w:endnote w:type="continuationSeparator" w:id="0">
    <w:p w:rsidR="00F921FF" w:rsidP="000B75D1" w:rsidRDefault="00F921FF" w14:paraId="2F5911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AAE" w:rsidP="00933AAE" w:rsidRDefault="00E60021" w14:paraId="5A54E1DB" w14:textId="77777777">
    <w:pPr>
      <w:pStyle w:val="DocID"/>
    </w:pPr>
    <w:proofErr w:type="spellStart"/>
    <w:r>
      <w:t>DCACTIVE</w:t>
    </w:r>
    <w:proofErr w:type="spellEnd"/>
    <w:r>
      <w:t xml:space="preserve"> 55201958 </w:t>
    </w:r>
    <w:proofErr w:type="spellStart"/>
    <w:r>
      <w:t>v.1</w:t>
    </w:r>
    <w:proofErr w:type="spellEnd"/>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870430"/>
      <w:docPartObj>
        <w:docPartGallery w:val="Page Numbers (Bottom of Page)"/>
        <w:docPartUnique/>
      </w:docPartObj>
    </w:sdtPr>
    <w:sdtEndPr/>
    <w:sdtContent>
      <w:sdt>
        <w:sdtPr>
          <w:id w:val="-1669238322"/>
          <w:docPartObj>
            <w:docPartGallery w:val="Page Numbers (Top of Page)"/>
            <w:docPartUnique/>
          </w:docPartObj>
        </w:sdtPr>
        <w:sdtEndPr/>
        <w:sdtContent>
          <w:p w:rsidR="00A741E0" w:rsidRDefault="00A741E0" w14:paraId="5A54E1DC"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94F6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4F69">
              <w:rPr>
                <w:b/>
                <w:bCs/>
                <w:noProof/>
              </w:rPr>
              <w:t>10</w:t>
            </w:r>
            <w:r>
              <w:rPr>
                <w:b/>
                <w:bCs/>
                <w:sz w:val="24"/>
                <w:szCs w:val="24"/>
              </w:rPr>
              <w:fldChar w:fldCharType="end"/>
            </w:r>
          </w:p>
        </w:sdtContent>
      </w:sdt>
    </w:sdtContent>
  </w:sdt>
  <w:p w:rsidR="00B67905" w:rsidRDefault="00B67905" w14:paraId="131A63BC" w14:textId="77777777">
    <w:pPr>
      <w:pStyle w:val="Footer"/>
    </w:pPr>
    <w:r>
      <w:rPr>
        <w:noProof/>
      </w:rPr>
      <w:pict w14:anchorId="08ACE76C">
        <v:shapetype id="_x0000_t202" coordsize="21600,21600" o:spt="202" path="m,l,21600r21600,l21600,xe">
          <v:stroke joinstyle="miter"/>
          <v:path gradientshapeok="t" o:connecttype="rect"/>
        </v:shapetype>
        <v:shape id="zzmpTrailer_2832_19" style="position:absolute;margin-left:0;margin-top:813.6pt;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 o:spid="_x0000_s2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">
          <v:textbox inset="0,0,0,0">
            <w:txbxContent>
              <w:p w:rsidR="00B67905" w:rsidRDefault="00B67905" w14:paraId="6C36C936" w14:textId="27C1053E">
                <w:pPr>
                  <w:pStyle w:val="MacPacTrailer"/>
                </w:pPr>
                <w:proofErr w:type="spellStart"/>
                <w:r>
                  <w:t>CMIACTIVE</w:t>
                </w:r>
                <w:proofErr w:type="spellEnd"/>
                <w:r>
                  <w:t>-1100627655.1</w:t>
                </w:r>
              </w:p>
              <w:p w:rsidR="00B67905" w:rsidRDefault="00B67905" w14:paraId="0CD2188D" w14:textId="53098A8A">
                <w:pPr>
                  <w:pStyle w:val="MacPacTrailer"/>
                </w:pP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905" w:rsidRDefault="00B67905" w14:paraId="2CF57140" w14:textId="77777777">
    <w:pPr>
      <w:pStyle w:val="Footer"/>
    </w:pPr>
    <w:r>
      <w:rPr>
        <w:noProof/>
      </w:rPr>
      <w:pict w14:anchorId="144DD329">
        <v:shapetype id="_x0000_t202" coordsize="21600,21600" o:spt="202" path="m,l,21600r21600,l21600,xe">
          <v:stroke joinstyle="miter"/>
          <v:path gradientshapeok="t" o:connecttype="rect"/>
        </v:shapetype>
        <v:shape id="zzmpTrailer_2832_1B" style="position:absolute;margin-left:0;margin-top:813.6pt;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 o:spid="_x0000_s2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">
          <v:textbox inset="0,0,0,0">
            <w:txbxContent>
              <w:p w:rsidR="00B67905" w:rsidRDefault="00B67905" w14:paraId="08AA79C1" w14:textId="7CC7D896">
                <w:pPr>
                  <w:pStyle w:val="MacPacTrailer"/>
                </w:pPr>
                <w:proofErr w:type="spellStart"/>
                <w:r>
                  <w:t>CMIACTIVE</w:t>
                </w:r>
                <w:proofErr w:type="spellEnd"/>
                <w:r>
                  <w:t>-1100627655.1</w:t>
                </w:r>
              </w:p>
              <w:p w:rsidR="00B67905" w:rsidRDefault="00B67905" w14:paraId="0F0D9AE3" w14:textId="52473829">
                <w:pPr>
                  <w:pStyle w:val="MacPacTrailer"/>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1FF" w:rsidP="000B75D1" w:rsidRDefault="00F921FF" w14:paraId="5B1169E3" w14:textId="77777777">
      <w:r>
        <w:separator/>
      </w:r>
    </w:p>
  </w:footnote>
  <w:footnote w:type="continuationSeparator" w:id="0">
    <w:p w:rsidRPr="000B75D1" w:rsidR="00F921FF" w:rsidP="000B75D1" w:rsidRDefault="00F921FF" w14:paraId="256874CC" w14:textId="77777777">
      <w:pPr>
        <w:pStyle w:val="Footer"/>
      </w:pPr>
      <w:r>
        <w:t>________________________</w:t>
      </w:r>
    </w:p>
  </w:footnote>
  <w:footnote w:type="continuationNotice" w:id="1">
    <w:p w:rsidRPr="000B75D1" w:rsidR="00F921FF" w:rsidP="000B75D1" w:rsidRDefault="00F921FF" w14:paraId="73FBF4E5" w14:textId="77777777">
      <w:pPr>
        <w:pStyle w:val="Footer"/>
      </w:pPr>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BC" w:rsidRDefault="007F7BBC" w14:paraId="5BED6DFB" w14:textId="713AF1A4">
    <w:pPr>
      <w:pStyle w:val="Header"/>
      <w:jc w:val="right"/>
    </w:pPr>
  </w:p>
  <w:p w:rsidR="007F7BBC" w:rsidRDefault="007F7BBC" w14:paraId="32CA08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64B3"/>
    <w:multiLevelType w:val="hybridMultilevel"/>
    <w:tmpl w:val="D5A0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84B61"/>
    <w:multiLevelType w:val="hybridMultilevel"/>
    <w:tmpl w:val="F3C6A2DE"/>
    <w:lvl w:ilvl="0" w:tplc="97FE7EDC">
      <w:start w:val="1"/>
      <w:numFmt w:val="bullet"/>
      <w:pStyle w:val="Bullet-D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B7BC8"/>
    <w:multiLevelType w:val="hybridMultilevel"/>
    <w:tmpl w:val="ACAA850E"/>
    <w:lvl w:ilvl="0" w:tplc="B2A4C1E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C0373E"/>
    <w:multiLevelType w:val="multilevel"/>
    <w:tmpl w:val="E47059F8"/>
    <w:name w:val="zzmpOutIndent||Outine Indent|2|3|1|1|0|0||1|0|0||1|0|0||1|0|0||1|0|0||1|0|0||1|0|0||1|0|0||0|0|0||"/>
    <w:lvl w:ilvl="0">
      <w:start w:val="1"/>
      <w:numFmt w:val="upperRoman"/>
      <w:pStyle w:val="Heading1"/>
      <w:lvlText w:val="%1."/>
      <w:lvlJc w:val="left"/>
      <w:pPr>
        <w:tabs>
          <w:tab w:val="num" w:pos="720"/>
        </w:tabs>
        <w:ind w:left="720" w:hanging="720"/>
      </w:pPr>
      <w:rPr>
        <w:rFonts w:ascii="Times New Roman" w:hAnsi="Times New Roman" w:cs="Times New Roman"/>
        <w:b w:val="0"/>
        <w:i w:val="0"/>
        <w:caps w:val="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b w:val="0"/>
        <w:i w:val="0"/>
        <w:caps w:val="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lowerRoman"/>
      <w:pStyle w:val="Heading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Heading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lowerRoman"/>
      <w:pStyle w:val="Heading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none"/>
      <w:lvlRestart w:val="0"/>
      <w:pStyle w:val="Heading9"/>
      <w:suff w:val="nothing"/>
      <w:lvlText w:val=""/>
      <w:lvlJc w:val="left"/>
      <w:pPr>
        <w:tabs>
          <w:tab w:val="num" w:pos="1440"/>
        </w:tabs>
        <w:ind w:left="0" w:firstLine="720"/>
      </w:pPr>
      <w:rPr>
        <w:rFonts w:ascii="Times New Roman" w:hAnsi="Times New Roman" w:cs="Times New Roman"/>
        <w:b w:val="0"/>
        <w:i w:val="0"/>
        <w:caps w:val="0"/>
        <w:color w:val="auto"/>
        <w:sz w:val="24"/>
        <w:u w:val="none"/>
      </w:rPr>
    </w:lvl>
  </w:abstractNum>
  <w:abstractNum w:abstractNumId="4" w15:restartNumberingAfterBreak="0">
    <w:nsid w:val="33CD79CF"/>
    <w:multiLevelType w:val="hybridMultilevel"/>
    <w:tmpl w:val="BE10222A"/>
    <w:lvl w:ilvl="0" w:tplc="172A0796">
      <w:start w:val="1"/>
      <w:numFmt w:val="bullet"/>
      <w:pStyle w:val="BulletSymbo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B7FA1"/>
    <w:multiLevelType w:val="hybridMultilevel"/>
    <w:tmpl w:val="2CDE9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F55A3"/>
    <w:multiLevelType w:val="hybridMultilevel"/>
    <w:tmpl w:val="2AEA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91423"/>
    <w:multiLevelType w:val="hybridMultilevel"/>
    <w:tmpl w:val="65B655C8"/>
    <w:lvl w:ilvl="0" w:tplc="307C888C">
      <w:start w:val="1"/>
      <w:numFmt w:val="bullet"/>
      <w:lvlText w:val="•"/>
      <w:lvlJc w:val="left"/>
      <w:pPr>
        <w:tabs>
          <w:tab w:val="num" w:pos="720"/>
        </w:tabs>
        <w:ind w:left="720" w:hanging="360"/>
      </w:pPr>
      <w:rPr>
        <w:rFonts w:ascii="Times New Roman" w:hAnsi="Times New Roman" w:hint="default"/>
      </w:rPr>
    </w:lvl>
    <w:lvl w:ilvl="1" w:tplc="D682BF50" w:tentative="1">
      <w:start w:val="1"/>
      <w:numFmt w:val="bullet"/>
      <w:lvlText w:val="•"/>
      <w:lvlJc w:val="left"/>
      <w:pPr>
        <w:tabs>
          <w:tab w:val="num" w:pos="1440"/>
        </w:tabs>
        <w:ind w:left="1440" w:hanging="360"/>
      </w:pPr>
      <w:rPr>
        <w:rFonts w:ascii="Times New Roman" w:hAnsi="Times New Roman" w:hint="default"/>
      </w:rPr>
    </w:lvl>
    <w:lvl w:ilvl="2" w:tplc="F9B08868" w:tentative="1">
      <w:start w:val="1"/>
      <w:numFmt w:val="bullet"/>
      <w:lvlText w:val="•"/>
      <w:lvlJc w:val="left"/>
      <w:pPr>
        <w:tabs>
          <w:tab w:val="num" w:pos="2160"/>
        </w:tabs>
        <w:ind w:left="2160" w:hanging="360"/>
      </w:pPr>
      <w:rPr>
        <w:rFonts w:ascii="Times New Roman" w:hAnsi="Times New Roman" w:hint="default"/>
      </w:rPr>
    </w:lvl>
    <w:lvl w:ilvl="3" w:tplc="7430EB0A" w:tentative="1">
      <w:start w:val="1"/>
      <w:numFmt w:val="bullet"/>
      <w:lvlText w:val="•"/>
      <w:lvlJc w:val="left"/>
      <w:pPr>
        <w:tabs>
          <w:tab w:val="num" w:pos="2880"/>
        </w:tabs>
        <w:ind w:left="2880" w:hanging="360"/>
      </w:pPr>
      <w:rPr>
        <w:rFonts w:ascii="Times New Roman" w:hAnsi="Times New Roman" w:hint="default"/>
      </w:rPr>
    </w:lvl>
    <w:lvl w:ilvl="4" w:tplc="9E968F08" w:tentative="1">
      <w:start w:val="1"/>
      <w:numFmt w:val="bullet"/>
      <w:lvlText w:val="•"/>
      <w:lvlJc w:val="left"/>
      <w:pPr>
        <w:tabs>
          <w:tab w:val="num" w:pos="3600"/>
        </w:tabs>
        <w:ind w:left="3600" w:hanging="360"/>
      </w:pPr>
      <w:rPr>
        <w:rFonts w:ascii="Times New Roman" w:hAnsi="Times New Roman" w:hint="default"/>
      </w:rPr>
    </w:lvl>
    <w:lvl w:ilvl="5" w:tplc="CC80EB1C" w:tentative="1">
      <w:start w:val="1"/>
      <w:numFmt w:val="bullet"/>
      <w:lvlText w:val="•"/>
      <w:lvlJc w:val="left"/>
      <w:pPr>
        <w:tabs>
          <w:tab w:val="num" w:pos="4320"/>
        </w:tabs>
        <w:ind w:left="4320" w:hanging="360"/>
      </w:pPr>
      <w:rPr>
        <w:rFonts w:ascii="Times New Roman" w:hAnsi="Times New Roman" w:hint="default"/>
      </w:rPr>
    </w:lvl>
    <w:lvl w:ilvl="6" w:tplc="39387A0E" w:tentative="1">
      <w:start w:val="1"/>
      <w:numFmt w:val="bullet"/>
      <w:lvlText w:val="•"/>
      <w:lvlJc w:val="left"/>
      <w:pPr>
        <w:tabs>
          <w:tab w:val="num" w:pos="5040"/>
        </w:tabs>
        <w:ind w:left="5040" w:hanging="360"/>
      </w:pPr>
      <w:rPr>
        <w:rFonts w:ascii="Times New Roman" w:hAnsi="Times New Roman" w:hint="default"/>
      </w:rPr>
    </w:lvl>
    <w:lvl w:ilvl="7" w:tplc="D224531E" w:tentative="1">
      <w:start w:val="1"/>
      <w:numFmt w:val="bullet"/>
      <w:lvlText w:val="•"/>
      <w:lvlJc w:val="left"/>
      <w:pPr>
        <w:tabs>
          <w:tab w:val="num" w:pos="5760"/>
        </w:tabs>
        <w:ind w:left="5760" w:hanging="360"/>
      </w:pPr>
      <w:rPr>
        <w:rFonts w:ascii="Times New Roman" w:hAnsi="Times New Roman" w:hint="default"/>
      </w:rPr>
    </w:lvl>
    <w:lvl w:ilvl="8" w:tplc="366066D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E973A09"/>
    <w:multiLevelType w:val="hybridMultilevel"/>
    <w:tmpl w:val="5578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E60A72"/>
    <w:multiLevelType w:val="hybridMultilevel"/>
    <w:tmpl w:val="DE96B7E4"/>
    <w:lvl w:ilvl="0" w:tplc="4B72B562">
      <w:start w:val="1"/>
      <w:numFmt w:val="bullet"/>
      <w:lvlText w:val="•"/>
      <w:lvlJc w:val="left"/>
      <w:pPr>
        <w:tabs>
          <w:tab w:val="num" w:pos="720"/>
        </w:tabs>
        <w:ind w:left="720" w:hanging="360"/>
      </w:pPr>
      <w:rPr>
        <w:rFonts w:ascii="Arial" w:hAnsi="Arial" w:hint="default"/>
      </w:rPr>
    </w:lvl>
    <w:lvl w:ilvl="1" w:tplc="09C424F4" w:tentative="1">
      <w:start w:val="1"/>
      <w:numFmt w:val="bullet"/>
      <w:lvlText w:val="•"/>
      <w:lvlJc w:val="left"/>
      <w:pPr>
        <w:tabs>
          <w:tab w:val="num" w:pos="1440"/>
        </w:tabs>
        <w:ind w:left="1440" w:hanging="360"/>
      </w:pPr>
      <w:rPr>
        <w:rFonts w:ascii="Arial" w:hAnsi="Arial" w:hint="default"/>
      </w:rPr>
    </w:lvl>
    <w:lvl w:ilvl="2" w:tplc="05EEE1F8" w:tentative="1">
      <w:start w:val="1"/>
      <w:numFmt w:val="bullet"/>
      <w:lvlText w:val="•"/>
      <w:lvlJc w:val="left"/>
      <w:pPr>
        <w:tabs>
          <w:tab w:val="num" w:pos="2160"/>
        </w:tabs>
        <w:ind w:left="2160" w:hanging="360"/>
      </w:pPr>
      <w:rPr>
        <w:rFonts w:ascii="Arial" w:hAnsi="Arial" w:hint="default"/>
      </w:rPr>
    </w:lvl>
    <w:lvl w:ilvl="3" w:tplc="7AEC2800" w:tentative="1">
      <w:start w:val="1"/>
      <w:numFmt w:val="bullet"/>
      <w:lvlText w:val="•"/>
      <w:lvlJc w:val="left"/>
      <w:pPr>
        <w:tabs>
          <w:tab w:val="num" w:pos="2880"/>
        </w:tabs>
        <w:ind w:left="2880" w:hanging="360"/>
      </w:pPr>
      <w:rPr>
        <w:rFonts w:ascii="Arial" w:hAnsi="Arial" w:hint="default"/>
      </w:rPr>
    </w:lvl>
    <w:lvl w:ilvl="4" w:tplc="CD548436" w:tentative="1">
      <w:start w:val="1"/>
      <w:numFmt w:val="bullet"/>
      <w:lvlText w:val="•"/>
      <w:lvlJc w:val="left"/>
      <w:pPr>
        <w:tabs>
          <w:tab w:val="num" w:pos="3600"/>
        </w:tabs>
        <w:ind w:left="3600" w:hanging="360"/>
      </w:pPr>
      <w:rPr>
        <w:rFonts w:ascii="Arial" w:hAnsi="Arial" w:hint="default"/>
      </w:rPr>
    </w:lvl>
    <w:lvl w:ilvl="5" w:tplc="8410EBA6" w:tentative="1">
      <w:start w:val="1"/>
      <w:numFmt w:val="bullet"/>
      <w:lvlText w:val="•"/>
      <w:lvlJc w:val="left"/>
      <w:pPr>
        <w:tabs>
          <w:tab w:val="num" w:pos="4320"/>
        </w:tabs>
        <w:ind w:left="4320" w:hanging="360"/>
      </w:pPr>
      <w:rPr>
        <w:rFonts w:ascii="Arial" w:hAnsi="Arial" w:hint="default"/>
      </w:rPr>
    </w:lvl>
    <w:lvl w:ilvl="6" w:tplc="FD566F20" w:tentative="1">
      <w:start w:val="1"/>
      <w:numFmt w:val="bullet"/>
      <w:lvlText w:val="•"/>
      <w:lvlJc w:val="left"/>
      <w:pPr>
        <w:tabs>
          <w:tab w:val="num" w:pos="5040"/>
        </w:tabs>
        <w:ind w:left="5040" w:hanging="360"/>
      </w:pPr>
      <w:rPr>
        <w:rFonts w:ascii="Arial" w:hAnsi="Arial" w:hint="default"/>
      </w:rPr>
    </w:lvl>
    <w:lvl w:ilvl="7" w:tplc="8A4AB3FA" w:tentative="1">
      <w:start w:val="1"/>
      <w:numFmt w:val="bullet"/>
      <w:lvlText w:val="•"/>
      <w:lvlJc w:val="left"/>
      <w:pPr>
        <w:tabs>
          <w:tab w:val="num" w:pos="5760"/>
        </w:tabs>
        <w:ind w:left="5760" w:hanging="360"/>
      </w:pPr>
      <w:rPr>
        <w:rFonts w:ascii="Arial" w:hAnsi="Arial" w:hint="default"/>
      </w:rPr>
    </w:lvl>
    <w:lvl w:ilvl="8" w:tplc="1E527F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145001A"/>
    <w:multiLevelType w:val="hybridMultilevel"/>
    <w:tmpl w:val="131E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16945"/>
    <w:multiLevelType w:val="hybridMultilevel"/>
    <w:tmpl w:val="D36A1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C3543"/>
    <w:multiLevelType w:val="hybridMultilevel"/>
    <w:tmpl w:val="1BEA3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1D5672"/>
    <w:multiLevelType w:val="hybridMultilevel"/>
    <w:tmpl w:val="4438AE66"/>
    <w:lvl w:ilvl="0" w:tplc="0DACBED4">
      <w:start w:val="21"/>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14" w15:restartNumberingAfterBreak="0">
    <w:nsid w:val="64EE41E6"/>
    <w:multiLevelType w:val="hybridMultilevel"/>
    <w:tmpl w:val="8A6CF694"/>
    <w:lvl w:ilvl="0" w:tplc="A0A2CD9E">
      <w:start w:val="1"/>
      <w:numFmt w:val="bullet"/>
      <w:pStyle w:val="Bullet-S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A01B5"/>
    <w:multiLevelType w:val="hybridMultilevel"/>
    <w:tmpl w:val="75C2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73FC1"/>
    <w:multiLevelType w:val="hybridMultilevel"/>
    <w:tmpl w:val="356E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BE54FE"/>
    <w:multiLevelType w:val="hybridMultilevel"/>
    <w:tmpl w:val="AAFCF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C0FBD"/>
    <w:multiLevelType w:val="hybridMultilevel"/>
    <w:tmpl w:val="0D9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9A4678"/>
    <w:multiLevelType w:val="hybridMultilevel"/>
    <w:tmpl w:val="3ADC6058"/>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14"/>
  </w:num>
  <w:num w:numId="3">
    <w:abstractNumId w:val="4"/>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10"/>
  </w:num>
  <w:num w:numId="15">
    <w:abstractNumId w:val="0"/>
  </w:num>
  <w:num w:numId="16">
    <w:abstractNumId w:val="17"/>
  </w:num>
  <w:num w:numId="17">
    <w:abstractNumId w:val="7"/>
  </w:num>
  <w:num w:numId="18">
    <w:abstractNumId w:val="5"/>
  </w:num>
  <w:num w:numId="19">
    <w:abstractNumId w:val="15"/>
  </w:num>
  <w:num w:numId="20">
    <w:abstractNumId w:val="13"/>
  </w:num>
  <w:num w:numId="21">
    <w:abstractNumId w:val="6"/>
  </w:num>
  <w:num w:numId="22">
    <w:abstractNumId w:val="9"/>
  </w:num>
  <w:num w:numId="23">
    <w:abstractNumId w:val="19"/>
  </w:num>
  <w:num w:numId="24">
    <w:abstractNumId w:val="17"/>
  </w:num>
  <w:num w:numId="25">
    <w:abstractNumId w:val="2"/>
  </w:num>
  <w:num w:numId="26">
    <w:abstractNumId w:val="8"/>
  </w:num>
  <w:num w:numId="27">
    <w:abstractNumId w:val="16"/>
  </w:num>
  <w:num w:numId="28">
    <w:abstractNumId w:val="18"/>
  </w:num>
  <w:num w:numId="29">
    <w:abstractNumId w:val="1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EEA"/>
    <w:rsid w:val="000075DB"/>
    <w:rsid w:val="00015540"/>
    <w:rsid w:val="00027252"/>
    <w:rsid w:val="000749A2"/>
    <w:rsid w:val="00090961"/>
    <w:rsid w:val="00091855"/>
    <w:rsid w:val="000921A4"/>
    <w:rsid w:val="00096099"/>
    <w:rsid w:val="000B75D1"/>
    <w:rsid w:val="000C7CF7"/>
    <w:rsid w:val="000E1F50"/>
    <w:rsid w:val="00107F76"/>
    <w:rsid w:val="00134498"/>
    <w:rsid w:val="00137892"/>
    <w:rsid w:val="001621A2"/>
    <w:rsid w:val="0018333C"/>
    <w:rsid w:val="00185743"/>
    <w:rsid w:val="00185FFF"/>
    <w:rsid w:val="00194F69"/>
    <w:rsid w:val="001C13A8"/>
    <w:rsid w:val="001C7555"/>
    <w:rsid w:val="001E61AF"/>
    <w:rsid w:val="0021169C"/>
    <w:rsid w:val="002168DA"/>
    <w:rsid w:val="002234DD"/>
    <w:rsid w:val="00253797"/>
    <w:rsid w:val="00257C92"/>
    <w:rsid w:val="0026436F"/>
    <w:rsid w:val="00270C94"/>
    <w:rsid w:val="00293583"/>
    <w:rsid w:val="002961D9"/>
    <w:rsid w:val="002B14E3"/>
    <w:rsid w:val="002E166C"/>
    <w:rsid w:val="00317DCE"/>
    <w:rsid w:val="00325A0E"/>
    <w:rsid w:val="00350337"/>
    <w:rsid w:val="0037604B"/>
    <w:rsid w:val="003811DB"/>
    <w:rsid w:val="003A5C5E"/>
    <w:rsid w:val="003B290F"/>
    <w:rsid w:val="003D277F"/>
    <w:rsid w:val="003F2DD0"/>
    <w:rsid w:val="00402CE0"/>
    <w:rsid w:val="004550B8"/>
    <w:rsid w:val="0047137F"/>
    <w:rsid w:val="00492CAA"/>
    <w:rsid w:val="004B7C20"/>
    <w:rsid w:val="004C0E58"/>
    <w:rsid w:val="004C23DC"/>
    <w:rsid w:val="004E2BD6"/>
    <w:rsid w:val="004E6EAD"/>
    <w:rsid w:val="004F379E"/>
    <w:rsid w:val="004F3A9F"/>
    <w:rsid w:val="005023BA"/>
    <w:rsid w:val="00527B6E"/>
    <w:rsid w:val="0053650E"/>
    <w:rsid w:val="00536E53"/>
    <w:rsid w:val="0058542D"/>
    <w:rsid w:val="00594AE8"/>
    <w:rsid w:val="005B65F2"/>
    <w:rsid w:val="005F0392"/>
    <w:rsid w:val="006259AB"/>
    <w:rsid w:val="0062668E"/>
    <w:rsid w:val="006375C6"/>
    <w:rsid w:val="00657738"/>
    <w:rsid w:val="00657C2E"/>
    <w:rsid w:val="00660999"/>
    <w:rsid w:val="00661454"/>
    <w:rsid w:val="00677255"/>
    <w:rsid w:val="00687686"/>
    <w:rsid w:val="006D6CDE"/>
    <w:rsid w:val="007177E3"/>
    <w:rsid w:val="00720325"/>
    <w:rsid w:val="00721170"/>
    <w:rsid w:val="00743356"/>
    <w:rsid w:val="00751416"/>
    <w:rsid w:val="00765963"/>
    <w:rsid w:val="00770CB2"/>
    <w:rsid w:val="007E706F"/>
    <w:rsid w:val="007F0B11"/>
    <w:rsid w:val="007F7BBC"/>
    <w:rsid w:val="00815777"/>
    <w:rsid w:val="008533A3"/>
    <w:rsid w:val="00892DBE"/>
    <w:rsid w:val="0089558F"/>
    <w:rsid w:val="008C05C9"/>
    <w:rsid w:val="008C62B1"/>
    <w:rsid w:val="008F3AB2"/>
    <w:rsid w:val="008F5D07"/>
    <w:rsid w:val="00933AAE"/>
    <w:rsid w:val="00933FED"/>
    <w:rsid w:val="009378B5"/>
    <w:rsid w:val="00956C76"/>
    <w:rsid w:val="0098536C"/>
    <w:rsid w:val="00985FD2"/>
    <w:rsid w:val="009A77B0"/>
    <w:rsid w:val="009E16C8"/>
    <w:rsid w:val="009E6027"/>
    <w:rsid w:val="009F17F1"/>
    <w:rsid w:val="009F34D6"/>
    <w:rsid w:val="009F3639"/>
    <w:rsid w:val="009F54ED"/>
    <w:rsid w:val="00A3526E"/>
    <w:rsid w:val="00A437B4"/>
    <w:rsid w:val="00A54700"/>
    <w:rsid w:val="00A642E8"/>
    <w:rsid w:val="00A741E0"/>
    <w:rsid w:val="00A800EB"/>
    <w:rsid w:val="00AE1AAF"/>
    <w:rsid w:val="00AE5566"/>
    <w:rsid w:val="00B01DE7"/>
    <w:rsid w:val="00B04D46"/>
    <w:rsid w:val="00B117B2"/>
    <w:rsid w:val="00B457A4"/>
    <w:rsid w:val="00B47720"/>
    <w:rsid w:val="00B61E0C"/>
    <w:rsid w:val="00B627C7"/>
    <w:rsid w:val="00B6473B"/>
    <w:rsid w:val="00B67905"/>
    <w:rsid w:val="00B80E64"/>
    <w:rsid w:val="00BD233D"/>
    <w:rsid w:val="00C33FAE"/>
    <w:rsid w:val="00C53B19"/>
    <w:rsid w:val="00C61CD7"/>
    <w:rsid w:val="00C660BA"/>
    <w:rsid w:val="00C81AD8"/>
    <w:rsid w:val="00CB3801"/>
    <w:rsid w:val="00CC0146"/>
    <w:rsid w:val="00CC7B3B"/>
    <w:rsid w:val="00CF0153"/>
    <w:rsid w:val="00CF2D05"/>
    <w:rsid w:val="00D25C5E"/>
    <w:rsid w:val="00D51FC4"/>
    <w:rsid w:val="00D715BA"/>
    <w:rsid w:val="00D91FC6"/>
    <w:rsid w:val="00DB3C70"/>
    <w:rsid w:val="00DC3B13"/>
    <w:rsid w:val="00E40EAB"/>
    <w:rsid w:val="00E4365A"/>
    <w:rsid w:val="00E4380A"/>
    <w:rsid w:val="00E60021"/>
    <w:rsid w:val="00E91BCB"/>
    <w:rsid w:val="00E9244B"/>
    <w:rsid w:val="00EA15B8"/>
    <w:rsid w:val="00EB1DC1"/>
    <w:rsid w:val="00EC0FB3"/>
    <w:rsid w:val="00EC2C2D"/>
    <w:rsid w:val="00ED0B4D"/>
    <w:rsid w:val="00ED3964"/>
    <w:rsid w:val="00ED6778"/>
    <w:rsid w:val="00ED67FF"/>
    <w:rsid w:val="00EE2EEA"/>
    <w:rsid w:val="00F20BE5"/>
    <w:rsid w:val="00F36803"/>
    <w:rsid w:val="00F51F5C"/>
    <w:rsid w:val="00F83556"/>
    <w:rsid w:val="00F921FF"/>
    <w:rsid w:val="00F9623D"/>
    <w:rsid w:val="00F963D0"/>
    <w:rsid w:val="00FA0F5C"/>
    <w:rsid w:val="00FB709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54E117"/>
  <w15:docId w15:val="{B25F2F2B-339E-4057-BFF2-8D7F74C0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E2EEA"/>
    <w:pPr>
      <w:spacing w:after="0" w:line="240" w:lineRule="auto"/>
    </w:pPr>
    <w:rPr>
      <w:rFonts w:ascii="Calibri" w:hAnsi="Calibri" w:cs="Calibri" w:eastAsiaTheme="minorHAnsi"/>
    </w:rPr>
  </w:style>
  <w:style w:type="paragraph" w:styleId="Heading1">
    <w:name w:val="heading 1"/>
    <w:basedOn w:val="Normal"/>
    <w:link w:val="Heading1Char"/>
    <w:uiPriority w:val="2"/>
    <w:qFormat/>
    <w:rsid w:val="006259AB"/>
    <w:pPr>
      <w:numPr>
        <w:numId w:val="4"/>
      </w:numPr>
      <w:spacing w:after="240"/>
      <w:outlineLvl w:val="0"/>
    </w:pPr>
    <w:rPr>
      <w:szCs w:val="20"/>
    </w:rPr>
  </w:style>
  <w:style w:type="paragraph" w:styleId="Heading2">
    <w:name w:val="heading 2"/>
    <w:basedOn w:val="Heading1"/>
    <w:link w:val="Heading2Char"/>
    <w:uiPriority w:val="2"/>
    <w:qFormat/>
    <w:rsid w:val="004E2BD6"/>
    <w:pPr>
      <w:numPr>
        <w:ilvl w:val="1"/>
      </w:numPr>
      <w:outlineLvl w:val="1"/>
    </w:pPr>
  </w:style>
  <w:style w:type="paragraph" w:styleId="Heading3">
    <w:name w:val="heading 3"/>
    <w:basedOn w:val="Heading2"/>
    <w:link w:val="Heading3Char"/>
    <w:uiPriority w:val="2"/>
    <w:qFormat/>
    <w:rsid w:val="004E2BD6"/>
    <w:pPr>
      <w:numPr>
        <w:ilvl w:val="2"/>
      </w:numPr>
      <w:outlineLvl w:val="2"/>
    </w:pPr>
  </w:style>
  <w:style w:type="paragraph" w:styleId="Heading4">
    <w:name w:val="heading 4"/>
    <w:basedOn w:val="Heading3"/>
    <w:link w:val="Heading4Char"/>
    <w:uiPriority w:val="2"/>
    <w:rsid w:val="004E2BD6"/>
    <w:pPr>
      <w:numPr>
        <w:ilvl w:val="3"/>
      </w:numPr>
      <w:outlineLvl w:val="3"/>
    </w:pPr>
  </w:style>
  <w:style w:type="paragraph" w:styleId="Heading5">
    <w:name w:val="heading 5"/>
    <w:basedOn w:val="Heading4"/>
    <w:link w:val="Heading5Char"/>
    <w:uiPriority w:val="2"/>
    <w:unhideWhenUsed/>
    <w:rsid w:val="004E2BD6"/>
    <w:pPr>
      <w:numPr>
        <w:ilvl w:val="4"/>
      </w:numPr>
      <w:outlineLvl w:val="4"/>
    </w:pPr>
  </w:style>
  <w:style w:type="paragraph" w:styleId="Heading6">
    <w:name w:val="heading 6"/>
    <w:basedOn w:val="Heading5"/>
    <w:link w:val="Heading6Char"/>
    <w:uiPriority w:val="2"/>
    <w:semiHidden/>
    <w:unhideWhenUsed/>
    <w:rsid w:val="004E2BD6"/>
    <w:pPr>
      <w:numPr>
        <w:ilvl w:val="5"/>
      </w:numPr>
      <w:outlineLvl w:val="5"/>
    </w:pPr>
  </w:style>
  <w:style w:type="paragraph" w:styleId="Heading7">
    <w:name w:val="heading 7"/>
    <w:basedOn w:val="Heading6"/>
    <w:link w:val="Heading7Char"/>
    <w:uiPriority w:val="2"/>
    <w:semiHidden/>
    <w:unhideWhenUsed/>
    <w:qFormat/>
    <w:rsid w:val="004E2BD6"/>
    <w:pPr>
      <w:numPr>
        <w:ilvl w:val="6"/>
      </w:numPr>
      <w:outlineLvl w:val="6"/>
    </w:pPr>
  </w:style>
  <w:style w:type="paragraph" w:styleId="Heading8">
    <w:name w:val="heading 8"/>
    <w:basedOn w:val="Heading7"/>
    <w:link w:val="Heading8Char"/>
    <w:uiPriority w:val="2"/>
    <w:semiHidden/>
    <w:unhideWhenUsed/>
    <w:qFormat/>
    <w:rsid w:val="004E2BD6"/>
    <w:pPr>
      <w:numPr>
        <w:ilvl w:val="7"/>
      </w:numPr>
      <w:outlineLvl w:val="7"/>
    </w:pPr>
  </w:style>
  <w:style w:type="paragraph" w:styleId="Heading9">
    <w:name w:val="heading 9"/>
    <w:basedOn w:val="Heading8"/>
    <w:link w:val="Heading9Char"/>
    <w:uiPriority w:val="2"/>
    <w:semiHidden/>
    <w:unhideWhenUsed/>
    <w:qFormat/>
    <w:rsid w:val="004E2BD6"/>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743356"/>
    <w:pPr>
      <w:spacing w:after="240"/>
      <w:ind w:firstLine="1440"/>
    </w:pPr>
  </w:style>
  <w:style w:type="character" w:styleId="BodyTextChar" w:customStyle="1">
    <w:name w:val="Body Text Char"/>
    <w:basedOn w:val="DefaultParagraphFont"/>
    <w:link w:val="BodyText"/>
    <w:uiPriority w:val="99"/>
    <w:rsid w:val="0062668E"/>
    <w:rPr>
      <w:rFonts w:ascii="Times New Roman" w:hAnsi="Times New Roman" w:cs="Times New Roman"/>
      <w:sz w:val="24"/>
      <w:szCs w:val="24"/>
    </w:rPr>
  </w:style>
  <w:style w:type="paragraph" w:styleId="BodyTextContinued" w:customStyle="1">
    <w:name w:val="Body Text Continued"/>
    <w:basedOn w:val="BodyText"/>
    <w:next w:val="BodyText"/>
    <w:rsid w:val="00743356"/>
    <w:pPr>
      <w:ind w:firstLine="0"/>
    </w:pPr>
    <w:rPr>
      <w:szCs w:val="20"/>
    </w:rPr>
  </w:style>
  <w:style w:type="paragraph" w:styleId="Quote">
    <w:name w:val="Quote"/>
    <w:basedOn w:val="Normal"/>
    <w:next w:val="BodyTextContinued"/>
    <w:link w:val="QuoteChar"/>
    <w:qFormat/>
    <w:rsid w:val="00743356"/>
    <w:pPr>
      <w:spacing w:after="240"/>
      <w:ind w:left="1440" w:right="1440"/>
    </w:pPr>
    <w:rPr>
      <w:szCs w:val="20"/>
    </w:rPr>
  </w:style>
  <w:style w:type="character" w:styleId="QuoteChar" w:customStyle="1">
    <w:name w:val="Quote Char"/>
    <w:basedOn w:val="DefaultParagraphFont"/>
    <w:link w:val="Quote"/>
    <w:rsid w:val="00317DCE"/>
    <w:rPr>
      <w:rFonts w:ascii="Times New Roman" w:hAnsi="Times New Roman" w:cs="Times New Roman"/>
      <w:sz w:val="24"/>
      <w:szCs w:val="20"/>
    </w:rPr>
  </w:style>
  <w:style w:type="paragraph" w:styleId="Header">
    <w:name w:val="header"/>
    <w:basedOn w:val="Normal"/>
    <w:link w:val="HeaderChar"/>
    <w:uiPriority w:val="99"/>
    <w:rsid w:val="00743356"/>
    <w:pPr>
      <w:tabs>
        <w:tab w:val="center" w:pos="4680"/>
        <w:tab w:val="right" w:pos="9360"/>
      </w:tabs>
    </w:pPr>
  </w:style>
  <w:style w:type="character" w:styleId="HeaderChar" w:customStyle="1">
    <w:name w:val="Header Char"/>
    <w:basedOn w:val="DefaultParagraphFont"/>
    <w:link w:val="Header"/>
    <w:uiPriority w:val="99"/>
    <w:rsid w:val="00317DCE"/>
    <w:rPr>
      <w:rFonts w:ascii="Times New Roman" w:hAnsi="Times New Roman" w:cs="Times New Roman"/>
      <w:sz w:val="24"/>
      <w:szCs w:val="24"/>
    </w:rPr>
  </w:style>
  <w:style w:type="paragraph" w:styleId="Footer">
    <w:name w:val="footer"/>
    <w:basedOn w:val="Normal"/>
    <w:link w:val="FooterChar"/>
    <w:uiPriority w:val="99"/>
    <w:rsid w:val="00743356"/>
    <w:pPr>
      <w:tabs>
        <w:tab w:val="center" w:pos="4680"/>
        <w:tab w:val="right" w:pos="9360"/>
      </w:tabs>
    </w:pPr>
  </w:style>
  <w:style w:type="character" w:styleId="FooterChar" w:customStyle="1">
    <w:name w:val="Footer Char"/>
    <w:basedOn w:val="DefaultParagraphFont"/>
    <w:link w:val="Footer"/>
    <w:uiPriority w:val="99"/>
    <w:rsid w:val="00317DCE"/>
    <w:rPr>
      <w:rFonts w:ascii="Times New Roman" w:hAnsi="Times New Roman" w:cs="Times New Roman"/>
      <w:sz w:val="24"/>
      <w:szCs w:val="24"/>
    </w:rPr>
  </w:style>
  <w:style w:type="character" w:styleId="PageNumber">
    <w:name w:val="page number"/>
    <w:basedOn w:val="DefaultParagraphFont"/>
    <w:rsid w:val="00743356"/>
  </w:style>
  <w:style w:type="paragraph" w:styleId="Bullet-DoubleSpace" w:customStyle="1">
    <w:name w:val="Bullet-Double Space"/>
    <w:basedOn w:val="Normal"/>
    <w:uiPriority w:val="3"/>
    <w:rsid w:val="00A54700"/>
    <w:pPr>
      <w:spacing w:line="480" w:lineRule="auto"/>
      <w:ind w:left="1440" w:hanging="720"/>
    </w:pPr>
  </w:style>
  <w:style w:type="paragraph" w:styleId="Bullet-SingleSpace" w:customStyle="1">
    <w:name w:val="Bullet-Single Space"/>
    <w:basedOn w:val="Normal"/>
    <w:uiPriority w:val="3"/>
    <w:rsid w:val="00A54700"/>
    <w:pPr>
      <w:spacing w:after="240"/>
      <w:ind w:left="1440" w:hanging="720"/>
    </w:pPr>
  </w:style>
  <w:style w:type="paragraph" w:styleId="Quote-DS" w:customStyle="1">
    <w:name w:val="Quote-DS"/>
    <w:basedOn w:val="Normal"/>
    <w:next w:val="BodyTextContinued"/>
    <w:rsid w:val="00743356"/>
    <w:pPr>
      <w:spacing w:line="480" w:lineRule="auto"/>
      <w:ind w:left="1440" w:right="1440"/>
    </w:pPr>
  </w:style>
  <w:style w:type="paragraph" w:styleId="Quote-SS" w:customStyle="1">
    <w:name w:val="Quote-SS"/>
    <w:basedOn w:val="Normal"/>
    <w:next w:val="BodyTextContinued"/>
    <w:rsid w:val="00743356"/>
    <w:pPr>
      <w:spacing w:after="240"/>
      <w:ind w:left="1440" w:right="1440"/>
    </w:pPr>
  </w:style>
  <w:style w:type="paragraph" w:styleId="BulletSymbol" w:customStyle="1">
    <w:name w:val="Bullet Symbol"/>
    <w:basedOn w:val="Normal"/>
    <w:rsid w:val="00743356"/>
    <w:pPr>
      <w:numPr>
        <w:numId w:val="3"/>
      </w:numPr>
      <w:tabs>
        <w:tab w:val="clear" w:pos="720"/>
      </w:tabs>
      <w:spacing w:after="240"/>
      <w:ind w:hanging="720"/>
    </w:pPr>
  </w:style>
  <w:style w:type="paragraph" w:styleId="FootnoteText">
    <w:name w:val="footnote text"/>
    <w:basedOn w:val="Normal"/>
    <w:link w:val="FootnoteTextChar"/>
    <w:semiHidden/>
    <w:rsid w:val="00743356"/>
    <w:pPr>
      <w:ind w:firstLine="720"/>
    </w:pPr>
    <w:rPr>
      <w:sz w:val="20"/>
      <w:szCs w:val="20"/>
    </w:rPr>
  </w:style>
  <w:style w:type="character" w:styleId="FootnoteTextChar" w:customStyle="1">
    <w:name w:val="Footnote Text Char"/>
    <w:basedOn w:val="DefaultParagraphFont"/>
    <w:link w:val="FootnoteText"/>
    <w:semiHidden/>
    <w:rsid w:val="00317DCE"/>
    <w:rPr>
      <w:rFonts w:ascii="Times New Roman" w:hAnsi="Times New Roman" w:cs="Times New Roman"/>
      <w:sz w:val="20"/>
      <w:szCs w:val="20"/>
    </w:rPr>
  </w:style>
  <w:style w:type="character" w:styleId="EndnoteReference">
    <w:name w:val="endnote reference"/>
    <w:basedOn w:val="DefaultParagraphFont"/>
    <w:semiHidden/>
    <w:rsid w:val="00743356"/>
    <w:rPr>
      <w:sz w:val="20"/>
      <w:vertAlign w:val="superscript"/>
    </w:rPr>
  </w:style>
  <w:style w:type="character" w:styleId="FootnoteReference">
    <w:name w:val="footnote reference"/>
    <w:basedOn w:val="DefaultParagraphFont"/>
    <w:uiPriority w:val="99"/>
    <w:semiHidden/>
    <w:unhideWhenUsed/>
    <w:rsid w:val="000B75D1"/>
    <w:rPr>
      <w:vertAlign w:val="superscript"/>
    </w:rPr>
  </w:style>
  <w:style w:type="paragraph" w:styleId="BlockText">
    <w:name w:val="Block Text"/>
    <w:basedOn w:val="Normal"/>
    <w:uiPriority w:val="3"/>
    <w:qFormat/>
    <w:rsid w:val="00E9244B"/>
    <w:pPr>
      <w:framePr w:wrap="notBeside" w:hAnchor="text" w:vAnchor="text" w:y="1"/>
      <w:spacing w:after="240"/>
      <w:ind w:left="1440" w:right="1440"/>
      <w:contextualSpacing/>
      <w:jc w:val="both"/>
    </w:pPr>
    <w:rPr>
      <w:rFonts w:eastAsiaTheme="minorEastAsia" w:cstheme="minorBidi"/>
      <w:iCs/>
    </w:rPr>
  </w:style>
  <w:style w:type="character" w:styleId="Heading1Char" w:customStyle="1">
    <w:name w:val="Heading 1 Char"/>
    <w:basedOn w:val="DefaultParagraphFont"/>
    <w:link w:val="Heading1"/>
    <w:uiPriority w:val="2"/>
    <w:rsid w:val="006259AB"/>
    <w:rPr>
      <w:rFonts w:ascii="Times New Roman" w:hAnsi="Times New Roman" w:cs="Times New Roman"/>
      <w:sz w:val="24"/>
      <w:szCs w:val="20"/>
    </w:rPr>
  </w:style>
  <w:style w:type="character" w:styleId="Heading2Char" w:customStyle="1">
    <w:name w:val="Heading 2 Char"/>
    <w:basedOn w:val="DefaultParagraphFont"/>
    <w:link w:val="Heading2"/>
    <w:uiPriority w:val="2"/>
    <w:rsid w:val="00D91FC6"/>
    <w:rPr>
      <w:rFonts w:ascii="Times New Roman" w:hAnsi="Times New Roman" w:cs="Times New Roman"/>
      <w:sz w:val="24"/>
      <w:szCs w:val="20"/>
    </w:rPr>
  </w:style>
  <w:style w:type="character" w:styleId="Heading3Char" w:customStyle="1">
    <w:name w:val="Heading 3 Char"/>
    <w:basedOn w:val="DefaultParagraphFont"/>
    <w:link w:val="Heading3"/>
    <w:uiPriority w:val="2"/>
    <w:rsid w:val="00D91FC6"/>
    <w:rPr>
      <w:rFonts w:ascii="Times New Roman" w:hAnsi="Times New Roman" w:cs="Times New Roman"/>
      <w:sz w:val="24"/>
      <w:szCs w:val="20"/>
    </w:rPr>
  </w:style>
  <w:style w:type="character" w:styleId="Heading4Char" w:customStyle="1">
    <w:name w:val="Heading 4 Char"/>
    <w:basedOn w:val="DefaultParagraphFont"/>
    <w:link w:val="Heading4"/>
    <w:uiPriority w:val="2"/>
    <w:rsid w:val="00D91FC6"/>
    <w:rPr>
      <w:rFonts w:ascii="Times New Roman" w:hAnsi="Times New Roman" w:cs="Times New Roman"/>
      <w:sz w:val="24"/>
      <w:szCs w:val="20"/>
    </w:rPr>
  </w:style>
  <w:style w:type="character" w:styleId="Heading5Char" w:customStyle="1">
    <w:name w:val="Heading 5 Char"/>
    <w:basedOn w:val="DefaultParagraphFont"/>
    <w:link w:val="Heading5"/>
    <w:uiPriority w:val="2"/>
    <w:rsid w:val="00D91FC6"/>
    <w:rPr>
      <w:rFonts w:ascii="Times New Roman" w:hAnsi="Times New Roman" w:cs="Times New Roman"/>
      <w:sz w:val="24"/>
      <w:szCs w:val="20"/>
    </w:rPr>
  </w:style>
  <w:style w:type="character" w:styleId="Heading6Char" w:customStyle="1">
    <w:name w:val="Heading 6 Char"/>
    <w:basedOn w:val="DefaultParagraphFont"/>
    <w:link w:val="Heading6"/>
    <w:uiPriority w:val="2"/>
    <w:semiHidden/>
    <w:rsid w:val="00D91FC6"/>
    <w:rPr>
      <w:rFonts w:ascii="Times New Roman" w:hAnsi="Times New Roman" w:cs="Times New Roman"/>
      <w:sz w:val="24"/>
      <w:szCs w:val="20"/>
    </w:rPr>
  </w:style>
  <w:style w:type="character" w:styleId="Heading7Char" w:customStyle="1">
    <w:name w:val="Heading 7 Char"/>
    <w:basedOn w:val="DefaultParagraphFont"/>
    <w:link w:val="Heading7"/>
    <w:uiPriority w:val="2"/>
    <w:semiHidden/>
    <w:rsid w:val="00D91FC6"/>
    <w:rPr>
      <w:rFonts w:ascii="Times New Roman" w:hAnsi="Times New Roman" w:cs="Times New Roman"/>
      <w:sz w:val="24"/>
      <w:szCs w:val="20"/>
    </w:rPr>
  </w:style>
  <w:style w:type="character" w:styleId="Heading8Char" w:customStyle="1">
    <w:name w:val="Heading 8 Char"/>
    <w:basedOn w:val="DefaultParagraphFont"/>
    <w:link w:val="Heading8"/>
    <w:uiPriority w:val="2"/>
    <w:semiHidden/>
    <w:rsid w:val="00D91FC6"/>
    <w:rPr>
      <w:rFonts w:ascii="Times New Roman" w:hAnsi="Times New Roman" w:cs="Times New Roman"/>
      <w:sz w:val="24"/>
      <w:szCs w:val="20"/>
    </w:rPr>
  </w:style>
  <w:style w:type="character" w:styleId="Heading9Char" w:customStyle="1">
    <w:name w:val="Heading 9 Char"/>
    <w:basedOn w:val="DefaultParagraphFont"/>
    <w:link w:val="Heading9"/>
    <w:uiPriority w:val="2"/>
    <w:semiHidden/>
    <w:rsid w:val="00D91FC6"/>
    <w:rPr>
      <w:rFonts w:ascii="Times New Roman" w:hAnsi="Times New Roman" w:cs="Times New Roman"/>
      <w:sz w:val="24"/>
      <w:szCs w:val="20"/>
    </w:rPr>
  </w:style>
  <w:style w:type="paragraph" w:styleId="Title">
    <w:name w:val="Title"/>
    <w:basedOn w:val="Normal"/>
    <w:next w:val="BodyText"/>
    <w:link w:val="TitleChar"/>
    <w:qFormat/>
    <w:rsid w:val="001C7555"/>
    <w:pPr>
      <w:keepNext/>
      <w:keepLines/>
      <w:spacing w:after="240"/>
      <w:contextualSpacing/>
      <w:jc w:val="center"/>
      <w:outlineLvl w:val="0"/>
    </w:pPr>
    <w:rPr>
      <w:rFonts w:ascii="Times New Roman Bold" w:hAnsi="Times New Roman Bold" w:eastAsiaTheme="majorEastAsia" w:cstheme="majorBidi"/>
      <w:b/>
      <w:caps/>
      <w:color w:val="000000"/>
      <w:spacing w:val="5"/>
      <w:kern w:val="28"/>
      <w:szCs w:val="52"/>
    </w:rPr>
  </w:style>
  <w:style w:type="character" w:styleId="TitleChar" w:customStyle="1">
    <w:name w:val="Title Char"/>
    <w:basedOn w:val="DefaultParagraphFont"/>
    <w:link w:val="Title"/>
    <w:rsid w:val="00317DCE"/>
    <w:rPr>
      <w:rFonts w:ascii="Times New Roman Bold" w:hAnsi="Times New Roman Bold" w:eastAsiaTheme="majorEastAsia" w:cstheme="majorBidi"/>
      <w:b/>
      <w:caps/>
      <w:color w:val="000000"/>
      <w:spacing w:val="5"/>
      <w:kern w:val="28"/>
      <w:sz w:val="24"/>
      <w:szCs w:val="52"/>
    </w:rPr>
  </w:style>
  <w:style w:type="paragraph" w:styleId="Subtitle">
    <w:name w:val="Subtitle"/>
    <w:basedOn w:val="Title"/>
    <w:next w:val="BodyText"/>
    <w:link w:val="SubtitleChar"/>
    <w:qFormat/>
    <w:rsid w:val="001C7555"/>
    <w:pPr>
      <w:numPr>
        <w:ilvl w:val="1"/>
      </w:numPr>
      <w:outlineLvl w:val="1"/>
    </w:pPr>
    <w:rPr>
      <w:iCs/>
      <w:caps w:val="0"/>
      <w:color w:val="auto"/>
      <w:spacing w:val="15"/>
    </w:rPr>
  </w:style>
  <w:style w:type="character" w:styleId="SubtitleChar" w:customStyle="1">
    <w:name w:val="Subtitle Char"/>
    <w:basedOn w:val="DefaultParagraphFont"/>
    <w:link w:val="Subtitle"/>
    <w:rsid w:val="00317DCE"/>
    <w:rPr>
      <w:rFonts w:ascii="Times New Roman Bold" w:hAnsi="Times New Roman Bold" w:eastAsiaTheme="majorEastAsia" w:cstheme="majorBidi"/>
      <w:b/>
      <w:iCs/>
      <w:spacing w:val="15"/>
      <w:kern w:val="28"/>
      <w:sz w:val="24"/>
      <w:szCs w:val="52"/>
    </w:rPr>
  </w:style>
  <w:style w:type="paragraph" w:styleId="Bullet-DS" w:customStyle="1">
    <w:name w:val="Bullet-DS"/>
    <w:basedOn w:val="Normal"/>
    <w:rsid w:val="00743356"/>
    <w:pPr>
      <w:numPr>
        <w:numId w:val="1"/>
      </w:numPr>
      <w:tabs>
        <w:tab w:val="clear" w:pos="720"/>
      </w:tabs>
      <w:spacing w:line="480" w:lineRule="auto"/>
      <w:ind w:left="1440" w:hanging="720"/>
    </w:pPr>
  </w:style>
  <w:style w:type="paragraph" w:styleId="Bullet-SS" w:customStyle="1">
    <w:name w:val="Bullet-SS"/>
    <w:basedOn w:val="Normal"/>
    <w:rsid w:val="00743356"/>
    <w:pPr>
      <w:numPr>
        <w:numId w:val="2"/>
      </w:numPr>
      <w:tabs>
        <w:tab w:val="clear" w:pos="720"/>
      </w:tabs>
      <w:spacing w:after="240"/>
      <w:ind w:left="1440" w:hanging="720"/>
    </w:pPr>
  </w:style>
  <w:style w:type="paragraph" w:styleId="ListParagraph">
    <w:name w:val="List Paragraph"/>
    <w:basedOn w:val="Normal"/>
    <w:uiPriority w:val="34"/>
    <w:qFormat/>
    <w:rsid w:val="00EE2EEA"/>
    <w:pPr>
      <w:ind w:left="720"/>
    </w:pPr>
  </w:style>
  <w:style w:type="paragraph" w:styleId="TOCHeading">
    <w:name w:val="TOC Heading"/>
    <w:basedOn w:val="Heading1"/>
    <w:next w:val="Normal"/>
    <w:uiPriority w:val="39"/>
    <w:unhideWhenUsed/>
    <w:qFormat/>
    <w:rsid w:val="00BD233D"/>
    <w:pPr>
      <w:keepNext/>
      <w:keepLines/>
      <w:numPr>
        <w:numId w:val="0"/>
      </w:numPr>
      <w:spacing w:before="480" w:after="0" w:line="276" w:lineRule="auto"/>
      <w:outlineLvl w:val="9"/>
    </w:pPr>
    <w:rPr>
      <w:rFonts w:asciiTheme="majorHAnsi" w:hAnsiTheme="majorHAnsi" w:eastAsiaTheme="majorEastAsia"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BD233D"/>
    <w:rPr>
      <w:rFonts w:ascii="Tahoma" w:hAnsi="Tahoma" w:cs="Tahoma"/>
      <w:sz w:val="16"/>
      <w:szCs w:val="16"/>
    </w:rPr>
  </w:style>
  <w:style w:type="character" w:styleId="BalloonTextChar" w:customStyle="1">
    <w:name w:val="Balloon Text Char"/>
    <w:basedOn w:val="DefaultParagraphFont"/>
    <w:link w:val="BalloonText"/>
    <w:uiPriority w:val="99"/>
    <w:semiHidden/>
    <w:rsid w:val="00BD233D"/>
    <w:rPr>
      <w:rFonts w:ascii="Tahoma" w:hAnsi="Tahoma" w:cs="Tahoma" w:eastAsiaTheme="minorHAnsi"/>
      <w:sz w:val="16"/>
      <w:szCs w:val="16"/>
    </w:rPr>
  </w:style>
  <w:style w:type="paragraph" w:styleId="TOC1">
    <w:name w:val="toc 1"/>
    <w:basedOn w:val="Normal"/>
    <w:next w:val="Normal"/>
    <w:autoRedefine/>
    <w:uiPriority w:val="39"/>
    <w:unhideWhenUsed/>
    <w:qFormat/>
    <w:rsid w:val="00BD233D"/>
    <w:pPr>
      <w:spacing w:after="100"/>
    </w:pPr>
  </w:style>
  <w:style w:type="character" w:styleId="Hyperlink">
    <w:name w:val="Hyperlink"/>
    <w:basedOn w:val="DefaultParagraphFont"/>
    <w:uiPriority w:val="99"/>
    <w:unhideWhenUsed/>
    <w:rsid w:val="00BD233D"/>
    <w:rPr>
      <w:color w:val="0000FF" w:themeColor="hyperlink"/>
      <w:u w:val="single"/>
    </w:rPr>
  </w:style>
  <w:style w:type="paragraph" w:styleId="TOC2">
    <w:name w:val="toc 2"/>
    <w:basedOn w:val="Normal"/>
    <w:next w:val="Normal"/>
    <w:autoRedefine/>
    <w:uiPriority w:val="39"/>
    <w:unhideWhenUsed/>
    <w:qFormat/>
    <w:rsid w:val="009F54ED"/>
    <w:pPr>
      <w:spacing w:after="100"/>
      <w:ind w:left="220"/>
    </w:pPr>
  </w:style>
  <w:style w:type="paragraph" w:styleId="TOC3">
    <w:name w:val="toc 3"/>
    <w:basedOn w:val="Normal"/>
    <w:next w:val="Normal"/>
    <w:autoRedefine/>
    <w:uiPriority w:val="39"/>
    <w:unhideWhenUsed/>
    <w:qFormat/>
    <w:rsid w:val="009F54ED"/>
    <w:pPr>
      <w:spacing w:after="100" w:line="276" w:lineRule="auto"/>
      <w:ind w:left="440"/>
    </w:pPr>
    <w:rPr>
      <w:rFonts w:asciiTheme="minorHAnsi" w:hAnsiTheme="minorHAnsi" w:eastAsiaTheme="minorEastAsia" w:cstheme="minorBidi"/>
      <w:lang w:eastAsia="ja-JP"/>
    </w:rPr>
  </w:style>
  <w:style w:type="paragraph" w:styleId="DocID" w:customStyle="1">
    <w:name w:val="DocID"/>
    <w:basedOn w:val="Normal"/>
    <w:next w:val="Footer"/>
    <w:link w:val="DocIDChar"/>
    <w:rsid w:val="00933AAE"/>
    <w:rPr>
      <w:rFonts w:ascii="Times New Roman" w:hAnsi="Times New Roman" w:eastAsia="Times New Roman" w:cs="Times New Roman"/>
      <w:sz w:val="16"/>
      <w:szCs w:val="24"/>
    </w:rPr>
  </w:style>
  <w:style w:type="character" w:styleId="CommentReference">
    <w:name w:val="annotation reference"/>
    <w:basedOn w:val="DefaultParagraphFont"/>
    <w:uiPriority w:val="99"/>
    <w:semiHidden/>
    <w:unhideWhenUsed/>
    <w:rsid w:val="0021169C"/>
    <w:rPr>
      <w:sz w:val="16"/>
      <w:szCs w:val="16"/>
    </w:rPr>
  </w:style>
  <w:style w:type="paragraph" w:styleId="CommentText">
    <w:name w:val="annotation text"/>
    <w:basedOn w:val="Normal"/>
    <w:link w:val="CommentTextChar"/>
    <w:uiPriority w:val="99"/>
    <w:semiHidden/>
    <w:unhideWhenUsed/>
    <w:rsid w:val="0021169C"/>
    <w:rPr>
      <w:sz w:val="20"/>
      <w:szCs w:val="20"/>
    </w:rPr>
  </w:style>
  <w:style w:type="character" w:styleId="CommentTextChar" w:customStyle="1">
    <w:name w:val="Comment Text Char"/>
    <w:basedOn w:val="DefaultParagraphFont"/>
    <w:link w:val="CommentText"/>
    <w:uiPriority w:val="99"/>
    <w:semiHidden/>
    <w:rsid w:val="0021169C"/>
    <w:rPr>
      <w:rFonts w:ascii="Calibri" w:hAnsi="Calibri" w:cs="Calibri" w:eastAsiaTheme="minorHAnsi"/>
      <w:sz w:val="20"/>
      <w:szCs w:val="20"/>
    </w:rPr>
  </w:style>
  <w:style w:type="paragraph" w:styleId="CommentSubject">
    <w:name w:val="annotation subject"/>
    <w:basedOn w:val="CommentText"/>
    <w:next w:val="CommentText"/>
    <w:link w:val="CommentSubjectChar"/>
    <w:uiPriority w:val="99"/>
    <w:semiHidden/>
    <w:unhideWhenUsed/>
    <w:rsid w:val="0021169C"/>
    <w:rPr>
      <w:b/>
      <w:bCs/>
    </w:rPr>
  </w:style>
  <w:style w:type="character" w:styleId="CommentSubjectChar" w:customStyle="1">
    <w:name w:val="Comment Subject Char"/>
    <w:basedOn w:val="CommentTextChar"/>
    <w:link w:val="CommentSubject"/>
    <w:uiPriority w:val="99"/>
    <w:semiHidden/>
    <w:rsid w:val="0021169C"/>
    <w:rPr>
      <w:rFonts w:ascii="Calibri" w:hAnsi="Calibri" w:cs="Calibri" w:eastAsiaTheme="minorHAnsi"/>
      <w:b/>
      <w:bCs/>
      <w:sz w:val="20"/>
      <w:szCs w:val="20"/>
    </w:rPr>
  </w:style>
  <w:style w:type="character" w:styleId="DocIDChar" w:customStyle="1">
    <w:name w:val="DocID Char"/>
    <w:basedOn w:val="BodyTextChar"/>
    <w:link w:val="DocID"/>
    <w:rsid w:val="00933AAE"/>
    <w:rPr>
      <w:rFonts w:ascii="Times New Roman" w:hAnsi="Times New Roman" w:cs="Times New Roman"/>
      <w:sz w:val="16"/>
      <w:szCs w:val="24"/>
    </w:rPr>
  </w:style>
  <w:style w:type="paragraph" w:styleId="MacPacTrailer" w:customStyle="1">
    <w:name w:val="MacPac Trailer"/>
    <w:rsid w:val="00B67905"/>
    <w:pPr>
      <w:widowControl w:val="0"/>
      <w:spacing w:after="0" w:line="200" w:lineRule="exact"/>
    </w:pPr>
    <w:rPr>
      <w:rFonts w:ascii="Times New Roman" w:hAnsi="Times New Roman" w:cs="Times New Roman"/>
      <w:sz w:val="16"/>
    </w:rPr>
  </w:style>
  <w:style w:type="paragraph" w:styleId="NormalWeb">
    <w:name w:val="Normal (Web)"/>
    <w:basedOn w:val="Normal"/>
    <w:uiPriority w:val="99"/>
    <w:semiHidden/>
    <w:unhideWhenUsed/>
    <w:rsid w:val="001C13A8"/>
    <w:pPr>
      <w:spacing w:before="100" w:beforeAutospacing="1" w:after="100" w:afterAutospacing="1"/>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350337"/>
    <w:rPr>
      <w:color w:val="800080" w:themeColor="followedHyperlink"/>
      <w:u w:val="single"/>
    </w:rPr>
  </w:style>
  <w:style w:type="character" w:styleId="PlaceholderText">
    <w:name w:val="Placeholder Text"/>
    <w:basedOn w:val="DefaultParagraphFont"/>
    <w:uiPriority w:val="99"/>
    <w:semiHidden/>
    <w:rsid w:val="00B679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74637">
      <w:bodyDiv w:val="1"/>
      <w:marLeft w:val="0"/>
      <w:marRight w:val="0"/>
      <w:marTop w:val="0"/>
      <w:marBottom w:val="0"/>
      <w:divBdr>
        <w:top w:val="none" w:sz="0" w:space="0" w:color="auto"/>
        <w:left w:val="none" w:sz="0" w:space="0" w:color="auto"/>
        <w:bottom w:val="none" w:sz="0" w:space="0" w:color="auto"/>
        <w:right w:val="none" w:sz="0" w:space="0" w:color="auto"/>
      </w:divBdr>
    </w:div>
    <w:div w:id="510293253">
      <w:bodyDiv w:val="1"/>
      <w:marLeft w:val="0"/>
      <w:marRight w:val="0"/>
      <w:marTop w:val="0"/>
      <w:marBottom w:val="0"/>
      <w:divBdr>
        <w:top w:val="none" w:sz="0" w:space="0" w:color="auto"/>
        <w:left w:val="none" w:sz="0" w:space="0" w:color="auto"/>
        <w:bottom w:val="none" w:sz="0" w:space="0" w:color="auto"/>
        <w:right w:val="none" w:sz="0" w:space="0" w:color="auto"/>
      </w:divBdr>
    </w:div>
    <w:div w:id="757604603">
      <w:bodyDiv w:val="1"/>
      <w:marLeft w:val="0"/>
      <w:marRight w:val="0"/>
      <w:marTop w:val="0"/>
      <w:marBottom w:val="0"/>
      <w:divBdr>
        <w:top w:val="none" w:sz="0" w:space="0" w:color="auto"/>
        <w:left w:val="none" w:sz="0" w:space="0" w:color="auto"/>
        <w:bottom w:val="none" w:sz="0" w:space="0" w:color="auto"/>
        <w:right w:val="none" w:sz="0" w:space="0" w:color="auto"/>
      </w:divBdr>
    </w:div>
    <w:div w:id="944187484">
      <w:bodyDiv w:val="1"/>
      <w:marLeft w:val="0"/>
      <w:marRight w:val="0"/>
      <w:marTop w:val="0"/>
      <w:marBottom w:val="0"/>
      <w:divBdr>
        <w:top w:val="none" w:sz="0" w:space="0" w:color="auto"/>
        <w:left w:val="none" w:sz="0" w:space="0" w:color="auto"/>
        <w:bottom w:val="none" w:sz="0" w:space="0" w:color="auto"/>
        <w:right w:val="none" w:sz="0" w:space="0" w:color="auto"/>
      </w:divBdr>
      <w:divsChild>
        <w:div w:id="102262407">
          <w:marLeft w:val="360"/>
          <w:marRight w:val="0"/>
          <w:marTop w:val="200"/>
          <w:marBottom w:val="0"/>
          <w:divBdr>
            <w:top w:val="none" w:sz="0" w:space="0" w:color="auto"/>
            <w:left w:val="none" w:sz="0" w:space="0" w:color="auto"/>
            <w:bottom w:val="none" w:sz="0" w:space="0" w:color="auto"/>
            <w:right w:val="none" w:sz="0" w:space="0" w:color="auto"/>
          </w:divBdr>
        </w:div>
        <w:div w:id="1736051235">
          <w:marLeft w:val="360"/>
          <w:marRight w:val="0"/>
          <w:marTop w:val="200"/>
          <w:marBottom w:val="0"/>
          <w:divBdr>
            <w:top w:val="none" w:sz="0" w:space="0" w:color="auto"/>
            <w:left w:val="none" w:sz="0" w:space="0" w:color="auto"/>
            <w:bottom w:val="none" w:sz="0" w:space="0" w:color="auto"/>
            <w:right w:val="none" w:sz="0" w:space="0" w:color="auto"/>
          </w:divBdr>
        </w:div>
        <w:div w:id="1037199739">
          <w:marLeft w:val="360"/>
          <w:marRight w:val="0"/>
          <w:marTop w:val="200"/>
          <w:marBottom w:val="0"/>
          <w:divBdr>
            <w:top w:val="none" w:sz="0" w:space="0" w:color="auto"/>
            <w:left w:val="none" w:sz="0" w:space="0" w:color="auto"/>
            <w:bottom w:val="none" w:sz="0" w:space="0" w:color="auto"/>
            <w:right w:val="none" w:sz="0" w:space="0" w:color="auto"/>
          </w:divBdr>
        </w:div>
      </w:divsChild>
    </w:div>
    <w:div w:id="1086608759">
      <w:bodyDiv w:val="1"/>
      <w:marLeft w:val="0"/>
      <w:marRight w:val="0"/>
      <w:marTop w:val="0"/>
      <w:marBottom w:val="0"/>
      <w:divBdr>
        <w:top w:val="none" w:sz="0" w:space="0" w:color="auto"/>
        <w:left w:val="none" w:sz="0" w:space="0" w:color="auto"/>
        <w:bottom w:val="none" w:sz="0" w:space="0" w:color="auto"/>
        <w:right w:val="none" w:sz="0" w:space="0" w:color="auto"/>
      </w:divBdr>
    </w:div>
    <w:div w:id="1226910989">
      <w:bodyDiv w:val="1"/>
      <w:marLeft w:val="0"/>
      <w:marRight w:val="0"/>
      <w:marTop w:val="0"/>
      <w:marBottom w:val="0"/>
      <w:divBdr>
        <w:top w:val="none" w:sz="0" w:space="0" w:color="auto"/>
        <w:left w:val="none" w:sz="0" w:space="0" w:color="auto"/>
        <w:bottom w:val="none" w:sz="0" w:space="0" w:color="auto"/>
        <w:right w:val="none" w:sz="0" w:space="0" w:color="auto"/>
      </w:divBdr>
      <w:divsChild>
        <w:div w:id="348332274">
          <w:marLeft w:val="547"/>
          <w:marRight w:val="0"/>
          <w:marTop w:val="86"/>
          <w:marBottom w:val="0"/>
          <w:divBdr>
            <w:top w:val="none" w:sz="0" w:space="0" w:color="auto"/>
            <w:left w:val="none" w:sz="0" w:space="0" w:color="auto"/>
            <w:bottom w:val="none" w:sz="0" w:space="0" w:color="auto"/>
            <w:right w:val="none" w:sz="0" w:space="0" w:color="auto"/>
          </w:divBdr>
        </w:div>
        <w:div w:id="1153764749">
          <w:marLeft w:val="547"/>
          <w:marRight w:val="0"/>
          <w:marTop w:val="86"/>
          <w:marBottom w:val="0"/>
          <w:divBdr>
            <w:top w:val="none" w:sz="0" w:space="0" w:color="auto"/>
            <w:left w:val="none" w:sz="0" w:space="0" w:color="auto"/>
            <w:bottom w:val="none" w:sz="0" w:space="0" w:color="auto"/>
            <w:right w:val="none" w:sz="0" w:space="0" w:color="auto"/>
          </w:divBdr>
        </w:div>
        <w:div w:id="1598096550">
          <w:marLeft w:val="547"/>
          <w:marRight w:val="0"/>
          <w:marTop w:val="86"/>
          <w:marBottom w:val="0"/>
          <w:divBdr>
            <w:top w:val="none" w:sz="0" w:space="0" w:color="auto"/>
            <w:left w:val="none" w:sz="0" w:space="0" w:color="auto"/>
            <w:bottom w:val="none" w:sz="0" w:space="0" w:color="auto"/>
            <w:right w:val="none" w:sz="0" w:space="0" w:color="auto"/>
          </w:divBdr>
        </w:div>
        <w:div w:id="1084031748">
          <w:marLeft w:val="547"/>
          <w:marRight w:val="0"/>
          <w:marTop w:val="86"/>
          <w:marBottom w:val="0"/>
          <w:divBdr>
            <w:top w:val="none" w:sz="0" w:space="0" w:color="auto"/>
            <w:left w:val="none" w:sz="0" w:space="0" w:color="auto"/>
            <w:bottom w:val="none" w:sz="0" w:space="0" w:color="auto"/>
            <w:right w:val="none" w:sz="0" w:space="0" w:color="auto"/>
          </w:divBdr>
        </w:div>
      </w:divsChild>
    </w:div>
    <w:div w:id="1581257504">
      <w:bodyDiv w:val="1"/>
      <w:marLeft w:val="0"/>
      <w:marRight w:val="0"/>
      <w:marTop w:val="0"/>
      <w:marBottom w:val="0"/>
      <w:divBdr>
        <w:top w:val="none" w:sz="0" w:space="0" w:color="auto"/>
        <w:left w:val="none" w:sz="0" w:space="0" w:color="auto"/>
        <w:bottom w:val="none" w:sz="0" w:space="0" w:color="auto"/>
        <w:right w:val="none" w:sz="0" w:space="0" w:color="auto"/>
      </w:divBdr>
    </w:div>
    <w:div w:id="1911111265">
      <w:bodyDiv w:val="1"/>
      <w:marLeft w:val="0"/>
      <w:marRight w:val="0"/>
      <w:marTop w:val="0"/>
      <w:marBottom w:val="0"/>
      <w:divBdr>
        <w:top w:val="none" w:sz="0" w:space="0" w:color="auto"/>
        <w:left w:val="none" w:sz="0" w:space="0" w:color="auto"/>
        <w:bottom w:val="none" w:sz="0" w:space="0" w:color="auto"/>
        <w:right w:val="none" w:sz="0" w:space="0" w:color="auto"/>
      </w:divBdr>
    </w:div>
    <w:div w:id="1958826481">
      <w:bodyDiv w:val="1"/>
      <w:marLeft w:val="0"/>
      <w:marRight w:val="0"/>
      <w:marTop w:val="0"/>
      <w:marBottom w:val="0"/>
      <w:divBdr>
        <w:top w:val="none" w:sz="0" w:space="0" w:color="auto"/>
        <w:left w:val="none" w:sz="0" w:space="0" w:color="auto"/>
        <w:bottom w:val="none" w:sz="0" w:space="0" w:color="auto"/>
        <w:right w:val="none" w:sz="0" w:space="0" w:color="auto"/>
      </w:divBdr>
    </w:div>
    <w:div w:id="203044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&#65279;<?xml version="1.0" encoding="utf-8"?><Relationships xmlns="http://schemas.openxmlformats.org/package/2006/relationships"><Relationship Type="http://schemas.openxmlformats.org/officeDocument/2006/relationships/hyperlink" Target="https://legacy.trade.gov/rcc/" TargetMode="External" Id="rId8" /><Relationship Type="http://schemas.openxmlformats.org/officeDocument/2006/relationships/hyperlink" Target="https://scic.sg/asean/"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alianzapacifico.net/en/what-is-the-pacific-alliance/"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s://chemicalswithoutconcern.org/content/lead-paint-law-map" TargetMode="External" Id="rId16" /><Relationship Type="http://schemas.openxmlformats.org/officeDocument/2006/relationships/footer" Target="footer3.xml" Id="rId20" /><Relationship Type="http://schemas.openxmlformats.org/officeDocument/2006/relationships/footnotes" Target="footnotes.xml" Id="rId6" /><Relationship Type="http://schemas.openxmlformats.org/officeDocument/2006/relationships/hyperlink" Target="https://www.ajcsd.org/chrip_search/html/AjcsdTop.html" TargetMode="External" Id="rId11" /><Relationship Type="http://schemas.openxmlformats.org/officeDocument/2006/relationships/webSettings" Target="webSettings.xml" Id="rId5" /><Relationship Type="http://schemas.openxmlformats.org/officeDocument/2006/relationships/hyperlink" Target="https://www.unenvironment.org/resources/publication/model-law-and-guidance-regulating-lead-paint" TargetMode="External" Id="rId15" /><Relationship Type="http://schemas.openxmlformats.org/officeDocument/2006/relationships/hyperlink" Target="https://protect-us.mimecast.com/s/y2-ZCXDk2rcnnmk2c6S7hl?domain=urldefense.proofpoint.com"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yperlink" Target="https://www.argentina.gob.ar/noticias/bergman-y-su-par-de-brasil-firmaron-un-convenio-por-la-gestion-de-sustancias-y-productos" TargetMode="External" Id="rId9" /><Relationship Type="http://schemas.openxmlformats.org/officeDocument/2006/relationships/hyperlink" Target="https://www.unenvironment.org/explore-topics/chemicals-waste/what-we-do/emerging-issues/global-alliance-eliminate-lead-paint"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