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75" w:rsidRDefault="00404675" w:rsidP="00114E97">
      <w:pPr>
        <w:spacing w:line="360" w:lineRule="auto"/>
        <w:jc w:val="both"/>
        <w:rPr>
          <w:sz w:val="20"/>
        </w:rPr>
      </w:pPr>
    </w:p>
    <w:p w:rsidR="008A27E4" w:rsidRDefault="008A27E4" w:rsidP="00114E97">
      <w:pPr>
        <w:pStyle w:val="ListParagraph"/>
        <w:numPr>
          <w:ilvl w:val="0"/>
          <w:numId w:val="1"/>
        </w:numPr>
        <w:spacing w:line="360" w:lineRule="auto"/>
        <w:jc w:val="both"/>
        <w:rPr>
          <w:sz w:val="20"/>
        </w:rPr>
      </w:pPr>
      <w:r>
        <w:rPr>
          <w:sz w:val="20"/>
        </w:rPr>
        <w:t xml:space="preserve">In 2009, 10 APEC economies had FDI inflows above </w:t>
      </w:r>
      <w:r w:rsidR="00114E97">
        <w:rPr>
          <w:sz w:val="20"/>
        </w:rPr>
        <w:t>$</w:t>
      </w:r>
      <w:r>
        <w:rPr>
          <w:sz w:val="20"/>
        </w:rPr>
        <w:t>10 billion and eight APEC economies had FDI outflows above that amount.</w:t>
      </w:r>
    </w:p>
    <w:p w:rsidR="000A18D7" w:rsidRDefault="00A8431E" w:rsidP="00114E97">
      <w:pPr>
        <w:pStyle w:val="ListParagraph"/>
        <w:numPr>
          <w:ilvl w:val="0"/>
          <w:numId w:val="1"/>
        </w:numPr>
        <w:spacing w:line="360" w:lineRule="auto"/>
        <w:jc w:val="both"/>
        <w:rPr>
          <w:sz w:val="20"/>
        </w:rPr>
      </w:pPr>
      <w:r w:rsidRPr="000A18D7">
        <w:rPr>
          <w:sz w:val="20"/>
        </w:rPr>
        <w:t xml:space="preserve">FDI inflows to the APEC region </w:t>
      </w:r>
      <w:r w:rsidR="000A18D7">
        <w:rPr>
          <w:sz w:val="20"/>
        </w:rPr>
        <w:t xml:space="preserve">amounted to </w:t>
      </w:r>
      <w:r w:rsidR="00114E97" w:rsidRPr="000A18D7">
        <w:rPr>
          <w:sz w:val="20"/>
        </w:rPr>
        <w:t>$</w:t>
      </w:r>
      <w:r w:rsidRPr="000A18D7">
        <w:rPr>
          <w:sz w:val="20"/>
        </w:rPr>
        <w:t xml:space="preserve">440 billion in 2009, a drop of 45% from </w:t>
      </w:r>
      <w:r w:rsidR="004A094F" w:rsidRPr="000A18D7">
        <w:rPr>
          <w:sz w:val="20"/>
        </w:rPr>
        <w:t>2008</w:t>
      </w:r>
      <w:r w:rsidR="004659F7" w:rsidRPr="000A18D7">
        <w:rPr>
          <w:sz w:val="20"/>
        </w:rPr>
        <w:t>, with</w:t>
      </w:r>
      <w:r w:rsidRPr="000A18D7">
        <w:rPr>
          <w:sz w:val="20"/>
        </w:rPr>
        <w:t xml:space="preserve"> </w:t>
      </w:r>
      <w:r w:rsidR="006E2F2A" w:rsidRPr="000A18D7">
        <w:rPr>
          <w:sz w:val="20"/>
        </w:rPr>
        <w:t>FDI inflows to developing APEC economies account</w:t>
      </w:r>
      <w:r w:rsidR="004659F7" w:rsidRPr="000A18D7">
        <w:rPr>
          <w:sz w:val="20"/>
        </w:rPr>
        <w:t>ing</w:t>
      </w:r>
      <w:r w:rsidR="006E2F2A" w:rsidRPr="000A18D7">
        <w:rPr>
          <w:sz w:val="20"/>
        </w:rPr>
        <w:t xml:space="preserve"> for </w:t>
      </w:r>
      <w:r w:rsidR="00E7226E" w:rsidRPr="000A18D7">
        <w:rPr>
          <w:sz w:val="20"/>
        </w:rPr>
        <w:t>58%</w:t>
      </w:r>
      <w:r w:rsidR="006E2F2A" w:rsidRPr="000A18D7">
        <w:rPr>
          <w:sz w:val="20"/>
        </w:rPr>
        <w:t xml:space="preserve"> </w:t>
      </w:r>
      <w:r w:rsidR="00577C13" w:rsidRPr="000A18D7">
        <w:rPr>
          <w:sz w:val="20"/>
        </w:rPr>
        <w:t xml:space="preserve">of </w:t>
      </w:r>
      <w:r w:rsidR="00E7226E" w:rsidRPr="000A18D7">
        <w:rPr>
          <w:sz w:val="20"/>
        </w:rPr>
        <w:t xml:space="preserve">total </w:t>
      </w:r>
      <w:r w:rsidR="00577C13" w:rsidRPr="000A18D7">
        <w:rPr>
          <w:sz w:val="20"/>
        </w:rPr>
        <w:t>FDI inflows to the APEC region</w:t>
      </w:r>
      <w:r w:rsidR="006E2F2A" w:rsidRPr="000A18D7">
        <w:rPr>
          <w:sz w:val="20"/>
        </w:rPr>
        <w:t xml:space="preserve">. </w:t>
      </w:r>
      <w:r w:rsidRPr="000A18D7">
        <w:rPr>
          <w:sz w:val="20"/>
        </w:rPr>
        <w:t>APEC’s share of world FDI inflows f</w:t>
      </w:r>
      <w:r w:rsidR="006E2F2A" w:rsidRPr="000A18D7">
        <w:rPr>
          <w:sz w:val="20"/>
        </w:rPr>
        <w:t>ell to 40% in 2009</w:t>
      </w:r>
      <w:r w:rsidRPr="000A18D7">
        <w:rPr>
          <w:sz w:val="20"/>
        </w:rPr>
        <w:t xml:space="preserve"> from 45% </w:t>
      </w:r>
      <w:r w:rsidR="0020125B" w:rsidRPr="000A18D7">
        <w:rPr>
          <w:sz w:val="20"/>
        </w:rPr>
        <w:t xml:space="preserve">in 2008. </w:t>
      </w:r>
    </w:p>
    <w:p w:rsidR="0095456A" w:rsidRPr="000A18D7" w:rsidRDefault="00A8431E" w:rsidP="00114E97">
      <w:pPr>
        <w:pStyle w:val="ListParagraph"/>
        <w:numPr>
          <w:ilvl w:val="0"/>
          <w:numId w:val="1"/>
        </w:numPr>
        <w:spacing w:line="360" w:lineRule="auto"/>
        <w:jc w:val="both"/>
        <w:rPr>
          <w:sz w:val="20"/>
        </w:rPr>
      </w:pPr>
      <w:r w:rsidRPr="000A18D7">
        <w:rPr>
          <w:sz w:val="20"/>
        </w:rPr>
        <w:t>FDI outflows</w:t>
      </w:r>
      <w:r w:rsidR="004433C9" w:rsidRPr="000A18D7">
        <w:rPr>
          <w:sz w:val="20"/>
        </w:rPr>
        <w:t xml:space="preserve"> from the APEC region </w:t>
      </w:r>
      <w:r w:rsidR="000A18D7">
        <w:rPr>
          <w:sz w:val="20"/>
        </w:rPr>
        <w:t xml:space="preserve">amounted to </w:t>
      </w:r>
      <w:r w:rsidR="00114E97" w:rsidRPr="000A18D7">
        <w:rPr>
          <w:sz w:val="20"/>
        </w:rPr>
        <w:t>$</w:t>
      </w:r>
      <w:r w:rsidR="004433C9" w:rsidRPr="000A18D7">
        <w:rPr>
          <w:sz w:val="20"/>
        </w:rPr>
        <w:t>580 billion in 20</w:t>
      </w:r>
      <w:r w:rsidR="003C3410" w:rsidRPr="000A18D7">
        <w:rPr>
          <w:sz w:val="20"/>
        </w:rPr>
        <w:t>09, a decrease of 26% from 2008</w:t>
      </w:r>
      <w:r w:rsidR="000A18D7">
        <w:rPr>
          <w:sz w:val="20"/>
        </w:rPr>
        <w:t>. M</w:t>
      </w:r>
      <w:r w:rsidR="003C3410" w:rsidRPr="000A18D7">
        <w:rPr>
          <w:sz w:val="20"/>
        </w:rPr>
        <w:t>ost of th</w:t>
      </w:r>
      <w:r w:rsidR="004659F7" w:rsidRPr="000A18D7">
        <w:rPr>
          <w:sz w:val="20"/>
        </w:rPr>
        <w:t>is</w:t>
      </w:r>
      <w:r w:rsidR="003C3410" w:rsidRPr="000A18D7">
        <w:rPr>
          <w:sz w:val="20"/>
        </w:rPr>
        <w:t xml:space="preserve"> decline c</w:t>
      </w:r>
      <w:r w:rsidR="000A18D7">
        <w:rPr>
          <w:sz w:val="20"/>
        </w:rPr>
        <w:t xml:space="preserve">ame </w:t>
      </w:r>
      <w:r w:rsidR="003C3410" w:rsidRPr="000A18D7">
        <w:rPr>
          <w:sz w:val="20"/>
        </w:rPr>
        <w:t xml:space="preserve">from the industrialized APEC economies. However, APEC’s share of world FDI outflows </w:t>
      </w:r>
      <w:r w:rsidR="00F67F7D" w:rsidRPr="000A18D7">
        <w:rPr>
          <w:sz w:val="20"/>
        </w:rPr>
        <w:t xml:space="preserve">rose </w:t>
      </w:r>
      <w:r w:rsidR="003C3410" w:rsidRPr="000A18D7">
        <w:rPr>
          <w:sz w:val="20"/>
        </w:rPr>
        <w:t>to 53%</w:t>
      </w:r>
      <w:r w:rsidR="004664C9" w:rsidRPr="000A18D7">
        <w:rPr>
          <w:sz w:val="20"/>
        </w:rPr>
        <w:t xml:space="preserve"> in 2009 from 41% in 2008</w:t>
      </w:r>
      <w:r w:rsidR="003C3410" w:rsidRPr="000A18D7">
        <w:rPr>
          <w:sz w:val="20"/>
        </w:rPr>
        <w:t xml:space="preserve"> </w:t>
      </w:r>
      <w:r w:rsidR="000A18D7">
        <w:rPr>
          <w:sz w:val="20"/>
        </w:rPr>
        <w:t xml:space="preserve">(largely due to </w:t>
      </w:r>
      <w:r w:rsidR="003C3410" w:rsidRPr="000A18D7">
        <w:rPr>
          <w:sz w:val="20"/>
        </w:rPr>
        <w:t>FDI outflows from the EU f</w:t>
      </w:r>
      <w:r w:rsidR="000A18D7">
        <w:rPr>
          <w:sz w:val="20"/>
        </w:rPr>
        <w:t xml:space="preserve">alling </w:t>
      </w:r>
      <w:r w:rsidR="00577C13" w:rsidRPr="000A18D7">
        <w:rPr>
          <w:sz w:val="20"/>
        </w:rPr>
        <w:t>58%</w:t>
      </w:r>
      <w:r w:rsidR="00F67F7D" w:rsidRPr="000A18D7">
        <w:rPr>
          <w:sz w:val="20"/>
        </w:rPr>
        <w:t xml:space="preserve"> to $389 billion in 2009</w:t>
      </w:r>
      <w:r w:rsidR="000A18D7">
        <w:rPr>
          <w:sz w:val="20"/>
        </w:rPr>
        <w:t>)</w:t>
      </w:r>
      <w:r w:rsidR="003C3410" w:rsidRPr="000A18D7">
        <w:rPr>
          <w:sz w:val="20"/>
        </w:rPr>
        <w:t>.</w:t>
      </w:r>
    </w:p>
    <w:p w:rsidR="006E7D09" w:rsidRDefault="006E7D09" w:rsidP="00114E97">
      <w:pPr>
        <w:pStyle w:val="ListParagraph"/>
        <w:numPr>
          <w:ilvl w:val="0"/>
          <w:numId w:val="1"/>
        </w:numPr>
        <w:spacing w:line="360" w:lineRule="auto"/>
        <w:jc w:val="both"/>
        <w:rPr>
          <w:sz w:val="20"/>
        </w:rPr>
      </w:pPr>
      <w:r>
        <w:rPr>
          <w:sz w:val="20"/>
        </w:rPr>
        <w:t xml:space="preserve">Inward FDI stock in the APEC region was </w:t>
      </w:r>
      <w:r w:rsidR="004D3225">
        <w:rPr>
          <w:sz w:val="20"/>
        </w:rPr>
        <w:t>valued at</w:t>
      </w:r>
      <w:r>
        <w:rPr>
          <w:sz w:val="20"/>
        </w:rPr>
        <w:t xml:space="preserve"> over </w:t>
      </w:r>
      <w:r w:rsidR="00114E97">
        <w:rPr>
          <w:sz w:val="20"/>
        </w:rPr>
        <w:t>$</w:t>
      </w:r>
      <w:r>
        <w:rPr>
          <w:sz w:val="20"/>
        </w:rPr>
        <w:t>7 trillion in 2009, an increase of 16% over the previous year, with APEC’s share of inward FDI stock in the world remaining at 40%.</w:t>
      </w:r>
      <w:r w:rsidR="004659F7" w:rsidRPr="004659F7">
        <w:rPr>
          <w:sz w:val="20"/>
        </w:rPr>
        <w:t xml:space="preserve"> </w:t>
      </w:r>
      <w:r w:rsidR="004659F7">
        <w:rPr>
          <w:sz w:val="20"/>
        </w:rPr>
        <w:t xml:space="preserve">Outward FDI stock from the APEC region increased by 26% in 2009 to </w:t>
      </w:r>
      <w:r w:rsidR="00C03AAE">
        <w:rPr>
          <w:sz w:val="20"/>
        </w:rPr>
        <w:t xml:space="preserve">just </w:t>
      </w:r>
      <w:r w:rsidR="004659F7">
        <w:rPr>
          <w:sz w:val="20"/>
        </w:rPr>
        <w:t xml:space="preserve">over </w:t>
      </w:r>
      <w:r w:rsidR="00114E97">
        <w:rPr>
          <w:sz w:val="20"/>
        </w:rPr>
        <w:t>$</w:t>
      </w:r>
      <w:r w:rsidR="004659F7">
        <w:rPr>
          <w:sz w:val="20"/>
        </w:rPr>
        <w:t xml:space="preserve">8 trillion, with APEC’s share of </w:t>
      </w:r>
      <w:r w:rsidR="00C03AAE">
        <w:rPr>
          <w:sz w:val="20"/>
        </w:rPr>
        <w:t xml:space="preserve">world </w:t>
      </w:r>
      <w:r w:rsidR="004659F7">
        <w:rPr>
          <w:sz w:val="20"/>
        </w:rPr>
        <w:t>outward FDI stock increasing to 42%.</w:t>
      </w:r>
    </w:p>
    <w:p w:rsidR="00A71B1C" w:rsidRDefault="00A71B1C" w:rsidP="00D00A66">
      <w:pPr>
        <w:rPr>
          <w:sz w:val="20"/>
        </w:rPr>
      </w:pPr>
    </w:p>
    <w:p w:rsidR="00404675" w:rsidRDefault="00404675" w:rsidP="00D00A66">
      <w:pPr>
        <w:rPr>
          <w:sz w:val="20"/>
        </w:rPr>
      </w:pPr>
    </w:p>
    <w:p w:rsidR="00D00A66" w:rsidRDefault="003B3A17" w:rsidP="00D00A66">
      <w:pPr>
        <w:rPr>
          <w:sz w:val="20"/>
        </w:rPr>
      </w:pPr>
      <w:r w:rsidRPr="00FB77FB">
        <w:rPr>
          <w:sz w:val="20"/>
        </w:rPr>
        <w:t>Table A. Distribution of FDI flows among economies,</w:t>
      </w:r>
    </w:p>
    <w:p w:rsidR="003B3A17" w:rsidRPr="00FB77FB" w:rsidRDefault="003B3A17" w:rsidP="00FF2EF8">
      <w:pPr>
        <w:spacing w:after="120"/>
        <w:rPr>
          <w:sz w:val="20"/>
        </w:rPr>
      </w:pPr>
      <w:r w:rsidRPr="00FB77FB">
        <w:rPr>
          <w:sz w:val="20"/>
        </w:rPr>
        <w:t>by range,</w:t>
      </w:r>
      <w:r w:rsidR="00583D3D" w:rsidRPr="00FB77FB">
        <w:rPr>
          <w:sz w:val="20"/>
          <w:vertAlign w:val="superscript"/>
        </w:rPr>
        <w:t>a</w:t>
      </w:r>
      <w:r w:rsidRPr="00FB77FB">
        <w:rPr>
          <w:sz w:val="20"/>
        </w:rPr>
        <w:t xml:space="preserve"> 2009</w:t>
      </w:r>
    </w:p>
    <w:tbl>
      <w:tblPr>
        <w:tblW w:w="4601" w:type="dxa"/>
        <w:tblLook w:val="04A0"/>
      </w:tblPr>
      <w:tblGrid>
        <w:gridCol w:w="947"/>
        <w:gridCol w:w="1996"/>
        <w:gridCol w:w="1706"/>
      </w:tblGrid>
      <w:tr w:rsidR="00ED7690" w:rsidRPr="00FB77FB" w:rsidTr="00282D95">
        <w:trPr>
          <w:trHeight w:val="20"/>
        </w:trPr>
        <w:tc>
          <w:tcPr>
            <w:tcW w:w="931" w:type="dxa"/>
            <w:tcBorders>
              <w:top w:val="single" w:sz="8" w:space="0" w:color="auto"/>
              <w:left w:val="nil"/>
              <w:bottom w:val="single" w:sz="8" w:space="0" w:color="auto"/>
              <w:right w:val="nil"/>
            </w:tcBorders>
            <w:shd w:val="clear" w:color="auto" w:fill="auto"/>
            <w:noWrap/>
            <w:tcMar>
              <w:left w:w="0" w:type="dxa"/>
              <w:right w:w="0" w:type="dxa"/>
            </w:tcMar>
            <w:vAlign w:val="bottom"/>
            <w:hideMark/>
          </w:tcPr>
          <w:p w:rsidR="00974BED" w:rsidRPr="00FB77FB" w:rsidRDefault="00974BED" w:rsidP="00ED7690">
            <w:pPr>
              <w:jc w:val="center"/>
              <w:rPr>
                <w:rFonts w:eastAsia="Times New Roman"/>
                <w:b/>
                <w:bCs/>
                <w:color w:val="000000"/>
                <w:sz w:val="16"/>
                <w:szCs w:val="16"/>
              </w:rPr>
            </w:pPr>
            <w:r w:rsidRPr="00FB77FB">
              <w:rPr>
                <w:rFonts w:eastAsia="Times New Roman"/>
                <w:b/>
                <w:bCs/>
                <w:color w:val="000000"/>
                <w:sz w:val="16"/>
                <w:szCs w:val="16"/>
              </w:rPr>
              <w:t>Range</w:t>
            </w:r>
          </w:p>
        </w:tc>
        <w:tc>
          <w:tcPr>
            <w:tcW w:w="1980" w:type="dxa"/>
            <w:tcBorders>
              <w:top w:val="single" w:sz="8" w:space="0" w:color="auto"/>
              <w:left w:val="nil"/>
              <w:bottom w:val="single" w:sz="8" w:space="0" w:color="auto"/>
              <w:right w:val="nil"/>
            </w:tcBorders>
            <w:shd w:val="clear" w:color="auto" w:fill="auto"/>
            <w:noWrap/>
            <w:tcMar>
              <w:left w:w="0" w:type="dxa"/>
              <w:right w:w="0" w:type="dxa"/>
            </w:tcMar>
            <w:vAlign w:val="bottom"/>
            <w:hideMark/>
          </w:tcPr>
          <w:p w:rsidR="00974BED" w:rsidRPr="00FB77FB" w:rsidRDefault="00974BED" w:rsidP="00ED7690">
            <w:pPr>
              <w:jc w:val="center"/>
              <w:rPr>
                <w:rFonts w:eastAsia="Times New Roman"/>
                <w:b/>
                <w:bCs/>
                <w:color w:val="000000"/>
                <w:sz w:val="16"/>
                <w:szCs w:val="16"/>
              </w:rPr>
            </w:pPr>
            <w:r w:rsidRPr="00FB77FB">
              <w:rPr>
                <w:rFonts w:eastAsia="Times New Roman"/>
                <w:b/>
                <w:bCs/>
                <w:color w:val="000000"/>
                <w:sz w:val="16"/>
                <w:szCs w:val="16"/>
              </w:rPr>
              <w:t>Inflows</w:t>
            </w:r>
          </w:p>
        </w:tc>
        <w:tc>
          <w:tcPr>
            <w:tcW w:w="1690" w:type="dxa"/>
            <w:tcBorders>
              <w:top w:val="single" w:sz="8" w:space="0" w:color="auto"/>
              <w:left w:val="nil"/>
              <w:bottom w:val="single" w:sz="8" w:space="0" w:color="auto"/>
              <w:right w:val="nil"/>
            </w:tcBorders>
            <w:shd w:val="clear" w:color="auto" w:fill="auto"/>
            <w:noWrap/>
            <w:tcMar>
              <w:left w:w="0" w:type="dxa"/>
              <w:right w:w="0" w:type="dxa"/>
            </w:tcMar>
            <w:vAlign w:val="bottom"/>
            <w:hideMark/>
          </w:tcPr>
          <w:p w:rsidR="00974BED" w:rsidRPr="00FB77FB" w:rsidRDefault="00974BED" w:rsidP="00ED7690">
            <w:pPr>
              <w:jc w:val="center"/>
              <w:rPr>
                <w:rFonts w:eastAsia="Times New Roman"/>
                <w:b/>
                <w:bCs/>
                <w:color w:val="000000"/>
                <w:sz w:val="16"/>
                <w:szCs w:val="16"/>
              </w:rPr>
            </w:pPr>
            <w:r w:rsidRPr="00FB77FB">
              <w:rPr>
                <w:rFonts w:eastAsia="Times New Roman"/>
                <w:b/>
                <w:bCs/>
                <w:color w:val="000000"/>
                <w:sz w:val="16"/>
                <w:szCs w:val="16"/>
              </w:rPr>
              <w:t>Outflows</w:t>
            </w:r>
          </w:p>
        </w:tc>
      </w:tr>
      <w:tr w:rsidR="00ED7690" w:rsidRPr="00FB77FB" w:rsidTr="00282D95">
        <w:trPr>
          <w:trHeight w:val="20"/>
        </w:trPr>
        <w:tc>
          <w:tcPr>
            <w:tcW w:w="931"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rPr>
                <w:rFonts w:eastAsia="Times New Roman"/>
                <w:color w:val="000000"/>
                <w:sz w:val="16"/>
                <w:szCs w:val="16"/>
              </w:rPr>
            </w:pPr>
            <w:r w:rsidRPr="00FB77FB">
              <w:rPr>
                <w:rFonts w:eastAsia="Times New Roman"/>
                <w:color w:val="000000"/>
                <w:sz w:val="16"/>
                <w:szCs w:val="16"/>
              </w:rPr>
              <w:t>Above $50 billion</w:t>
            </w:r>
          </w:p>
        </w:tc>
        <w:tc>
          <w:tcPr>
            <w:tcW w:w="198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United States; China</w:t>
            </w:r>
          </w:p>
        </w:tc>
        <w:tc>
          <w:tcPr>
            <w:tcW w:w="169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United States; Japan; Hong Kong, China</w:t>
            </w:r>
          </w:p>
        </w:tc>
      </w:tr>
      <w:tr w:rsidR="00ED7690" w:rsidRPr="00FB77FB" w:rsidTr="00282D95">
        <w:trPr>
          <w:trHeight w:val="20"/>
        </w:trPr>
        <w:tc>
          <w:tcPr>
            <w:tcW w:w="931"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rPr>
                <w:rFonts w:eastAsia="Times New Roman"/>
                <w:color w:val="000000"/>
                <w:sz w:val="16"/>
                <w:szCs w:val="16"/>
              </w:rPr>
            </w:pPr>
            <w:r w:rsidRPr="00FB77FB">
              <w:rPr>
                <w:rFonts w:eastAsia="Times New Roman"/>
                <w:color w:val="000000"/>
                <w:sz w:val="16"/>
                <w:szCs w:val="16"/>
              </w:rPr>
              <w:t>$10 to $49 billion</w:t>
            </w:r>
          </w:p>
        </w:tc>
        <w:tc>
          <w:tcPr>
            <w:tcW w:w="198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Hong Kong, China; Russia; Australia; Canada; Singapore; Chile; Mexico; Japan</w:t>
            </w:r>
          </w:p>
        </w:tc>
        <w:tc>
          <w:tcPr>
            <w:tcW w:w="169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China; Russia; Canada; Australia; Korea</w:t>
            </w:r>
          </w:p>
        </w:tc>
      </w:tr>
      <w:tr w:rsidR="00ED7690" w:rsidRPr="00FB77FB" w:rsidTr="00282D95">
        <w:trPr>
          <w:trHeight w:val="20"/>
        </w:trPr>
        <w:tc>
          <w:tcPr>
            <w:tcW w:w="931"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rPr>
                <w:rFonts w:eastAsia="Times New Roman"/>
                <w:color w:val="000000"/>
                <w:sz w:val="16"/>
                <w:szCs w:val="16"/>
              </w:rPr>
            </w:pPr>
            <w:r w:rsidRPr="00FB77FB">
              <w:rPr>
                <w:rFonts w:eastAsia="Times New Roman"/>
                <w:color w:val="000000"/>
                <w:sz w:val="16"/>
                <w:szCs w:val="16"/>
              </w:rPr>
              <w:t>$1.0 to $9.9 billion</w:t>
            </w:r>
          </w:p>
        </w:tc>
        <w:tc>
          <w:tcPr>
            <w:tcW w:w="198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Thailand; Korea; Indonesia; Peru; Viet Nam; Chinese Taipei; Philippines; Malaysia</w:t>
            </w:r>
          </w:p>
        </w:tc>
        <w:tc>
          <w:tcPr>
            <w:tcW w:w="169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Malaysia; Chile; Mexico; Singapore; Chinese Taipei; Thailand; Indonesia</w:t>
            </w:r>
          </w:p>
        </w:tc>
      </w:tr>
      <w:tr w:rsidR="00ED7690" w:rsidRPr="00FB77FB" w:rsidTr="00282D95">
        <w:trPr>
          <w:trHeight w:val="20"/>
        </w:trPr>
        <w:tc>
          <w:tcPr>
            <w:tcW w:w="931"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rPr>
                <w:rFonts w:eastAsia="Times New Roman"/>
                <w:color w:val="000000"/>
                <w:sz w:val="16"/>
                <w:szCs w:val="16"/>
              </w:rPr>
            </w:pPr>
            <w:r w:rsidRPr="00FB77FB">
              <w:rPr>
                <w:rFonts w:eastAsia="Times New Roman"/>
                <w:color w:val="000000"/>
                <w:sz w:val="16"/>
                <w:szCs w:val="16"/>
              </w:rPr>
              <w:t>$0.1 to $0.9 billion</w:t>
            </w:r>
          </w:p>
        </w:tc>
        <w:tc>
          <w:tcPr>
            <w:tcW w:w="198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Papua New Guinea; New Zealand; Brunei Darussalam</w:t>
            </w:r>
          </w:p>
        </w:tc>
        <w:tc>
          <w:tcPr>
            <w:tcW w:w="1690" w:type="dxa"/>
            <w:tcBorders>
              <w:top w:val="nil"/>
              <w:left w:val="nil"/>
              <w:bottom w:val="single" w:sz="4" w:space="0" w:color="BFBFBF"/>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Peru; Philippines; Viet Nam</w:t>
            </w:r>
          </w:p>
        </w:tc>
      </w:tr>
      <w:tr w:rsidR="00ED7690" w:rsidRPr="00FB77FB" w:rsidTr="00282D95">
        <w:trPr>
          <w:trHeight w:val="20"/>
        </w:trPr>
        <w:tc>
          <w:tcPr>
            <w:tcW w:w="931" w:type="dxa"/>
            <w:tcBorders>
              <w:top w:val="nil"/>
              <w:left w:val="nil"/>
              <w:bottom w:val="single" w:sz="8" w:space="0" w:color="auto"/>
              <w:right w:val="nil"/>
            </w:tcBorders>
            <w:shd w:val="clear" w:color="auto" w:fill="auto"/>
            <w:tcMar>
              <w:left w:w="0" w:type="dxa"/>
              <w:right w:w="0" w:type="dxa"/>
            </w:tcMar>
            <w:vAlign w:val="center"/>
            <w:hideMark/>
          </w:tcPr>
          <w:p w:rsidR="00974BED" w:rsidRPr="00FB77FB" w:rsidRDefault="00974BED" w:rsidP="00ED7690">
            <w:pPr>
              <w:rPr>
                <w:rFonts w:eastAsia="Times New Roman"/>
                <w:color w:val="000000"/>
                <w:sz w:val="16"/>
                <w:szCs w:val="16"/>
              </w:rPr>
            </w:pPr>
            <w:r w:rsidRPr="00FB77FB">
              <w:rPr>
                <w:rFonts w:eastAsia="Times New Roman"/>
                <w:color w:val="000000"/>
                <w:sz w:val="16"/>
                <w:szCs w:val="16"/>
              </w:rPr>
              <w:t>Below $0.1 billion</w:t>
            </w:r>
          </w:p>
        </w:tc>
        <w:tc>
          <w:tcPr>
            <w:tcW w:w="1980" w:type="dxa"/>
            <w:tcBorders>
              <w:top w:val="nil"/>
              <w:left w:val="nil"/>
              <w:bottom w:val="single" w:sz="8" w:space="0" w:color="auto"/>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p>
        </w:tc>
        <w:tc>
          <w:tcPr>
            <w:tcW w:w="1690" w:type="dxa"/>
            <w:tcBorders>
              <w:top w:val="nil"/>
              <w:left w:val="nil"/>
              <w:bottom w:val="single" w:sz="8" w:space="0" w:color="auto"/>
              <w:right w:val="nil"/>
            </w:tcBorders>
            <w:shd w:val="clear" w:color="auto" w:fill="auto"/>
            <w:tcMar>
              <w:left w:w="0" w:type="dxa"/>
              <w:right w:w="0" w:type="dxa"/>
            </w:tcMar>
            <w:vAlign w:val="center"/>
            <w:hideMark/>
          </w:tcPr>
          <w:p w:rsidR="00974BED" w:rsidRPr="00FB77FB" w:rsidRDefault="00974BED" w:rsidP="00ED7690">
            <w:pPr>
              <w:jc w:val="center"/>
              <w:rPr>
                <w:rFonts w:eastAsia="Times New Roman"/>
                <w:color w:val="000000"/>
                <w:sz w:val="16"/>
                <w:szCs w:val="16"/>
              </w:rPr>
            </w:pPr>
            <w:r w:rsidRPr="00FB77FB">
              <w:rPr>
                <w:rFonts w:eastAsia="Times New Roman"/>
                <w:color w:val="000000"/>
                <w:sz w:val="16"/>
                <w:szCs w:val="16"/>
              </w:rPr>
              <w:t>Brunei Darussalam; Papua New Guinea; New Zealand</w:t>
            </w:r>
          </w:p>
        </w:tc>
      </w:tr>
    </w:tbl>
    <w:p w:rsidR="0032024B" w:rsidRPr="00FB77FB" w:rsidRDefault="00583D3D" w:rsidP="003B3A17">
      <w:pPr>
        <w:rPr>
          <w:sz w:val="18"/>
          <w:szCs w:val="18"/>
        </w:rPr>
      </w:pPr>
      <w:r w:rsidRPr="00FB77FB">
        <w:rPr>
          <w:sz w:val="18"/>
          <w:szCs w:val="18"/>
          <w:vertAlign w:val="superscript"/>
        </w:rPr>
        <w:t>a</w:t>
      </w:r>
      <w:r w:rsidRPr="00FB77FB">
        <w:rPr>
          <w:sz w:val="18"/>
          <w:szCs w:val="18"/>
        </w:rPr>
        <w:t xml:space="preserve"> Economies are listed according to the magnitude of their FDI flows.</w:t>
      </w:r>
    </w:p>
    <w:p w:rsidR="00404675" w:rsidRPr="00404675" w:rsidRDefault="007A2ACA" w:rsidP="00404675">
      <w:pPr>
        <w:spacing w:line="360" w:lineRule="auto"/>
        <w:jc w:val="both"/>
        <w:rPr>
          <w:sz w:val="20"/>
        </w:rPr>
      </w:pPr>
      <w:r w:rsidRPr="00404675">
        <w:rPr>
          <w:sz w:val="20"/>
        </w:rPr>
        <w:br w:type="column"/>
      </w:r>
    </w:p>
    <w:p w:rsidR="003B032E" w:rsidRDefault="00CB6107" w:rsidP="00114E97">
      <w:pPr>
        <w:pStyle w:val="ListParagraph"/>
        <w:numPr>
          <w:ilvl w:val="0"/>
          <w:numId w:val="1"/>
        </w:numPr>
        <w:spacing w:line="360" w:lineRule="auto"/>
        <w:ind w:left="360"/>
        <w:jc w:val="both"/>
        <w:rPr>
          <w:sz w:val="20"/>
        </w:rPr>
      </w:pPr>
      <w:r>
        <w:rPr>
          <w:sz w:val="20"/>
        </w:rPr>
        <w:t xml:space="preserve">The number of </w:t>
      </w:r>
      <w:r w:rsidR="006064DE" w:rsidRPr="006064DE">
        <w:rPr>
          <w:sz w:val="20"/>
        </w:rPr>
        <w:t>Greenfield</w:t>
      </w:r>
      <w:r>
        <w:rPr>
          <w:sz w:val="20"/>
        </w:rPr>
        <w:t xml:space="preserve"> projects</w:t>
      </w:r>
      <w:r w:rsidR="00863052">
        <w:rPr>
          <w:sz w:val="20"/>
        </w:rPr>
        <w:t xml:space="preserve"> using FDI sourced from the APEC region fell </w:t>
      </w:r>
      <w:r w:rsidR="006E2F2A">
        <w:rPr>
          <w:sz w:val="20"/>
        </w:rPr>
        <w:t>17</w:t>
      </w:r>
      <w:r w:rsidR="00863052">
        <w:rPr>
          <w:sz w:val="20"/>
        </w:rPr>
        <w:t>%</w:t>
      </w:r>
      <w:r w:rsidR="00442B24">
        <w:rPr>
          <w:sz w:val="20"/>
        </w:rPr>
        <w:t xml:space="preserve"> in 2009</w:t>
      </w:r>
      <w:r w:rsidR="00863052">
        <w:rPr>
          <w:sz w:val="20"/>
        </w:rPr>
        <w:t xml:space="preserve">; however, APEC’s share </w:t>
      </w:r>
      <w:r w:rsidR="006E2F2A">
        <w:rPr>
          <w:sz w:val="20"/>
        </w:rPr>
        <w:t xml:space="preserve">as a source </w:t>
      </w:r>
      <w:r w:rsidR="00863052">
        <w:rPr>
          <w:sz w:val="20"/>
        </w:rPr>
        <w:t xml:space="preserve">of </w:t>
      </w:r>
      <w:r w:rsidR="006E2F2A">
        <w:rPr>
          <w:sz w:val="20"/>
        </w:rPr>
        <w:t xml:space="preserve">Greenfield FDI projects in </w:t>
      </w:r>
      <w:r w:rsidR="00863052">
        <w:rPr>
          <w:sz w:val="20"/>
        </w:rPr>
        <w:t>the world remained a</w:t>
      </w:r>
      <w:r w:rsidR="00442B24">
        <w:rPr>
          <w:sz w:val="20"/>
        </w:rPr>
        <w:t xml:space="preserve">t 41%. </w:t>
      </w:r>
      <w:r w:rsidR="006E2F2A">
        <w:rPr>
          <w:sz w:val="20"/>
        </w:rPr>
        <w:t xml:space="preserve">As a destination of Greenfield FDI, </w:t>
      </w:r>
      <w:r w:rsidR="00442B24">
        <w:rPr>
          <w:sz w:val="20"/>
        </w:rPr>
        <w:t xml:space="preserve">the number of </w:t>
      </w:r>
      <w:r w:rsidR="006E2F2A">
        <w:rPr>
          <w:sz w:val="20"/>
        </w:rPr>
        <w:t>projects in the APEC region fell 7% in 2009 – developing APEC economies accounted for this entire decline</w:t>
      </w:r>
      <w:r w:rsidR="00442B24">
        <w:rPr>
          <w:sz w:val="20"/>
        </w:rPr>
        <w:t xml:space="preserve"> since</w:t>
      </w:r>
      <w:r w:rsidR="006E2F2A">
        <w:rPr>
          <w:sz w:val="20"/>
        </w:rPr>
        <w:t xml:space="preserve"> the number of Greenfield FDI projects in </w:t>
      </w:r>
      <w:r w:rsidR="00442B24">
        <w:rPr>
          <w:sz w:val="20"/>
        </w:rPr>
        <w:t>industrialized</w:t>
      </w:r>
      <w:r w:rsidR="006E2F2A">
        <w:rPr>
          <w:sz w:val="20"/>
        </w:rPr>
        <w:t xml:space="preserve"> APEC economies rose </w:t>
      </w:r>
      <w:r w:rsidR="00442B24">
        <w:rPr>
          <w:sz w:val="20"/>
        </w:rPr>
        <w:t>in 2009</w:t>
      </w:r>
      <w:r w:rsidR="006E2F2A">
        <w:rPr>
          <w:sz w:val="20"/>
        </w:rPr>
        <w:t xml:space="preserve">. </w:t>
      </w:r>
      <w:r w:rsidR="00442B24">
        <w:rPr>
          <w:sz w:val="20"/>
        </w:rPr>
        <w:t>A</w:t>
      </w:r>
      <w:r w:rsidR="006E2F2A">
        <w:rPr>
          <w:sz w:val="20"/>
        </w:rPr>
        <w:t>s a destination of Greenfield FDI, the APEC region</w:t>
      </w:r>
      <w:r w:rsidR="004D3225">
        <w:rPr>
          <w:sz w:val="20"/>
        </w:rPr>
        <w:t xml:space="preserve">’s </w:t>
      </w:r>
      <w:r w:rsidR="006E2F2A">
        <w:rPr>
          <w:sz w:val="20"/>
        </w:rPr>
        <w:t>share in the world r</w:t>
      </w:r>
      <w:r w:rsidR="00442B24">
        <w:rPr>
          <w:sz w:val="20"/>
        </w:rPr>
        <w:t>o</w:t>
      </w:r>
      <w:r w:rsidR="006E2F2A">
        <w:rPr>
          <w:sz w:val="20"/>
        </w:rPr>
        <w:t xml:space="preserve">se to 41% as </w:t>
      </w:r>
      <w:r w:rsidR="00442B24">
        <w:rPr>
          <w:sz w:val="20"/>
        </w:rPr>
        <w:t xml:space="preserve">the number of </w:t>
      </w:r>
      <w:r w:rsidR="006E2F2A">
        <w:rPr>
          <w:sz w:val="20"/>
        </w:rPr>
        <w:t>Greenfield FDI projects in the EU dropped by 24%.</w:t>
      </w:r>
    </w:p>
    <w:p w:rsidR="00442B24" w:rsidRPr="00CC5F40" w:rsidRDefault="009D6043" w:rsidP="00114E97">
      <w:pPr>
        <w:pStyle w:val="ListParagraph"/>
        <w:numPr>
          <w:ilvl w:val="0"/>
          <w:numId w:val="1"/>
        </w:numPr>
        <w:spacing w:line="360" w:lineRule="auto"/>
        <w:ind w:left="360"/>
        <w:jc w:val="both"/>
        <w:rPr>
          <w:sz w:val="20"/>
        </w:rPr>
      </w:pPr>
      <w:r w:rsidRPr="00CC5F40">
        <w:rPr>
          <w:sz w:val="20"/>
        </w:rPr>
        <w:t xml:space="preserve">The value of cross-border M&amp;As peaked in </w:t>
      </w:r>
      <w:r w:rsidR="00C03AAE" w:rsidRPr="00CC5F40">
        <w:rPr>
          <w:sz w:val="20"/>
        </w:rPr>
        <w:t xml:space="preserve">2007 </w:t>
      </w:r>
      <w:r w:rsidRPr="00CC5F40">
        <w:rPr>
          <w:sz w:val="20"/>
        </w:rPr>
        <w:t xml:space="preserve">in both the APEC region and </w:t>
      </w:r>
      <w:r w:rsidR="00C03AAE" w:rsidRPr="00CC5F40">
        <w:rPr>
          <w:sz w:val="20"/>
        </w:rPr>
        <w:t>the world</w:t>
      </w:r>
      <w:r w:rsidRPr="00CC5F40">
        <w:rPr>
          <w:sz w:val="20"/>
        </w:rPr>
        <w:t xml:space="preserve">. </w:t>
      </w:r>
      <w:r w:rsidR="00C03AAE" w:rsidRPr="00CC5F40">
        <w:rPr>
          <w:sz w:val="20"/>
        </w:rPr>
        <w:t xml:space="preserve">In 2009, </w:t>
      </w:r>
      <w:r w:rsidRPr="00CC5F40">
        <w:rPr>
          <w:sz w:val="20"/>
        </w:rPr>
        <w:t xml:space="preserve">the value of </w:t>
      </w:r>
      <w:r w:rsidR="00717E33" w:rsidRPr="00CC5F40">
        <w:rPr>
          <w:sz w:val="20"/>
        </w:rPr>
        <w:t xml:space="preserve">M&amp;A </w:t>
      </w:r>
      <w:r w:rsidRPr="00CC5F40">
        <w:rPr>
          <w:sz w:val="20"/>
        </w:rPr>
        <w:t xml:space="preserve">sales in </w:t>
      </w:r>
      <w:r w:rsidR="00C03AAE" w:rsidRPr="00CC5F40">
        <w:rPr>
          <w:sz w:val="20"/>
        </w:rPr>
        <w:t>APEC economies d</w:t>
      </w:r>
      <w:r w:rsidRPr="00CC5F40">
        <w:rPr>
          <w:sz w:val="20"/>
        </w:rPr>
        <w:t>ropped</w:t>
      </w:r>
      <w:r w:rsidR="00C03AAE" w:rsidRPr="00CC5F40">
        <w:rPr>
          <w:sz w:val="20"/>
        </w:rPr>
        <w:t xml:space="preserve"> 72%</w:t>
      </w:r>
      <w:r w:rsidRPr="00CC5F40">
        <w:rPr>
          <w:sz w:val="20"/>
        </w:rPr>
        <w:t xml:space="preserve"> from</w:t>
      </w:r>
      <w:r w:rsidR="0088763F" w:rsidRPr="00CC5F40">
        <w:rPr>
          <w:sz w:val="20"/>
        </w:rPr>
        <w:t xml:space="preserve"> their value in</w:t>
      </w:r>
      <w:r w:rsidRPr="00CC5F40">
        <w:rPr>
          <w:sz w:val="20"/>
        </w:rPr>
        <w:t xml:space="preserve"> 2008</w:t>
      </w:r>
      <w:r w:rsidR="00C03AAE" w:rsidRPr="00CC5F40">
        <w:rPr>
          <w:sz w:val="20"/>
        </w:rPr>
        <w:t xml:space="preserve"> to </w:t>
      </w:r>
      <w:r w:rsidR="00114E97">
        <w:rPr>
          <w:sz w:val="20"/>
        </w:rPr>
        <w:t>$</w:t>
      </w:r>
      <w:r w:rsidR="00C03AAE" w:rsidRPr="00CC5F40">
        <w:rPr>
          <w:sz w:val="20"/>
        </w:rPr>
        <w:t>103 billion</w:t>
      </w:r>
      <w:r w:rsidR="0088763F" w:rsidRPr="00CC5F40">
        <w:rPr>
          <w:sz w:val="20"/>
        </w:rPr>
        <w:t xml:space="preserve">, while the </w:t>
      </w:r>
      <w:r w:rsidR="00C03AAE" w:rsidRPr="00CC5F40">
        <w:rPr>
          <w:sz w:val="20"/>
        </w:rPr>
        <w:t>world saw a decline of 65%.</w:t>
      </w:r>
      <w:r w:rsidR="0096207E" w:rsidRPr="00CC5F40">
        <w:rPr>
          <w:sz w:val="20"/>
        </w:rPr>
        <w:t xml:space="preserve"> APEC’s share of world M&amp;A sales fell to 41% in 2009 from 51% in 2008</w:t>
      </w:r>
      <w:r w:rsidR="000A18D7">
        <w:rPr>
          <w:sz w:val="20"/>
        </w:rPr>
        <w:t xml:space="preserve">, while the </w:t>
      </w:r>
      <w:r w:rsidR="009C23CD">
        <w:rPr>
          <w:sz w:val="20"/>
        </w:rPr>
        <w:t>EU’s share increased to 47% in 2009 from 36% in 2008</w:t>
      </w:r>
      <w:r w:rsidR="000A18D7">
        <w:rPr>
          <w:sz w:val="20"/>
        </w:rPr>
        <w:t>.</w:t>
      </w:r>
      <w:r w:rsidR="00C03AAE" w:rsidRPr="00CC5F40">
        <w:rPr>
          <w:sz w:val="20"/>
        </w:rPr>
        <w:t xml:space="preserve"> </w:t>
      </w:r>
      <w:r w:rsidR="0088763F" w:rsidRPr="00CC5F40">
        <w:rPr>
          <w:sz w:val="20"/>
        </w:rPr>
        <w:t>T</w:t>
      </w:r>
      <w:r w:rsidR="00C03AAE" w:rsidRPr="00CC5F40">
        <w:rPr>
          <w:sz w:val="20"/>
        </w:rPr>
        <w:t xml:space="preserve">he value of </w:t>
      </w:r>
      <w:r w:rsidR="00717E33" w:rsidRPr="00CC5F40">
        <w:rPr>
          <w:sz w:val="20"/>
        </w:rPr>
        <w:t xml:space="preserve">M&amp;A </w:t>
      </w:r>
      <w:r w:rsidR="0088763F" w:rsidRPr="00CC5F40">
        <w:rPr>
          <w:sz w:val="20"/>
        </w:rPr>
        <w:t xml:space="preserve">purchases </w:t>
      </w:r>
      <w:r w:rsidR="00717E33" w:rsidRPr="00CC5F40">
        <w:rPr>
          <w:sz w:val="20"/>
        </w:rPr>
        <w:t>b</w:t>
      </w:r>
      <w:r w:rsidR="0088763F" w:rsidRPr="00CC5F40">
        <w:rPr>
          <w:sz w:val="20"/>
        </w:rPr>
        <w:t>y</w:t>
      </w:r>
      <w:r w:rsidR="00C03AAE" w:rsidRPr="00CC5F40">
        <w:rPr>
          <w:sz w:val="20"/>
        </w:rPr>
        <w:t xml:space="preserve"> APEC economies declined by 60%</w:t>
      </w:r>
      <w:r w:rsidR="009C23CD">
        <w:rPr>
          <w:sz w:val="20"/>
        </w:rPr>
        <w:t xml:space="preserve"> from their value in 2008</w:t>
      </w:r>
      <w:r w:rsidR="00C03AAE" w:rsidRPr="00CC5F40">
        <w:rPr>
          <w:sz w:val="20"/>
        </w:rPr>
        <w:t xml:space="preserve"> to </w:t>
      </w:r>
      <w:r w:rsidR="00114E97">
        <w:rPr>
          <w:sz w:val="20"/>
        </w:rPr>
        <w:t>$</w:t>
      </w:r>
      <w:r w:rsidR="00C03AAE" w:rsidRPr="00CC5F40">
        <w:rPr>
          <w:sz w:val="20"/>
        </w:rPr>
        <w:t xml:space="preserve">107 billion in 2009. </w:t>
      </w:r>
      <w:r w:rsidR="0096207E" w:rsidRPr="00CC5F40">
        <w:rPr>
          <w:sz w:val="20"/>
        </w:rPr>
        <w:t>However, APEC’s share of world M&amp;A purchases increased to 43% in 2009 from 38% in 2008 as t</w:t>
      </w:r>
      <w:r w:rsidR="00C03AAE" w:rsidRPr="00CC5F40">
        <w:rPr>
          <w:sz w:val="20"/>
        </w:rPr>
        <w:t xml:space="preserve">he EU experienced </w:t>
      </w:r>
      <w:r w:rsidR="0096207E" w:rsidRPr="00CC5F40">
        <w:rPr>
          <w:sz w:val="20"/>
        </w:rPr>
        <w:t xml:space="preserve">a </w:t>
      </w:r>
      <w:r w:rsidR="00EE2474" w:rsidRPr="00CC5F40">
        <w:rPr>
          <w:sz w:val="20"/>
        </w:rPr>
        <w:t>71%</w:t>
      </w:r>
      <w:r w:rsidR="0096207E" w:rsidRPr="00CC5F40">
        <w:rPr>
          <w:sz w:val="20"/>
        </w:rPr>
        <w:t xml:space="preserve"> decline in</w:t>
      </w:r>
      <w:r w:rsidR="00EE2474" w:rsidRPr="00CC5F40">
        <w:rPr>
          <w:sz w:val="20"/>
        </w:rPr>
        <w:t xml:space="preserve"> the value of M&amp;A</w:t>
      </w:r>
      <w:r w:rsidR="0096207E" w:rsidRPr="00CC5F40">
        <w:rPr>
          <w:sz w:val="20"/>
        </w:rPr>
        <w:t xml:space="preserve"> purchases</w:t>
      </w:r>
      <w:r w:rsidR="00EE2474" w:rsidRPr="00CC5F40">
        <w:rPr>
          <w:sz w:val="20"/>
        </w:rPr>
        <w:t xml:space="preserve"> by EU members</w:t>
      </w:r>
      <w:r w:rsidR="00D1058D">
        <w:rPr>
          <w:sz w:val="20"/>
        </w:rPr>
        <w:t xml:space="preserve"> to $90 billion</w:t>
      </w:r>
      <w:r w:rsidR="00CC5F40" w:rsidRPr="00CC5F40">
        <w:rPr>
          <w:sz w:val="20"/>
        </w:rPr>
        <w:t xml:space="preserve"> in 2009</w:t>
      </w:r>
      <w:r w:rsidR="0096207E" w:rsidRPr="00CC5F40">
        <w:rPr>
          <w:sz w:val="20"/>
        </w:rPr>
        <w:t>.</w:t>
      </w:r>
    </w:p>
    <w:p w:rsidR="00B35B9A" w:rsidRDefault="00B35B9A" w:rsidP="003B032E">
      <w:pPr>
        <w:rPr>
          <w:sz w:val="20"/>
        </w:rPr>
      </w:pPr>
    </w:p>
    <w:p w:rsidR="003B3A17" w:rsidRPr="00FB77FB" w:rsidRDefault="00847C1E" w:rsidP="007366DA">
      <w:pPr>
        <w:spacing w:after="120"/>
        <w:rPr>
          <w:sz w:val="20"/>
        </w:rPr>
      </w:pPr>
      <w:r w:rsidRPr="00FB77FB">
        <w:rPr>
          <w:sz w:val="20"/>
        </w:rPr>
        <w:t xml:space="preserve">Table B. FDI </w:t>
      </w:r>
      <w:r w:rsidR="003B3A17" w:rsidRPr="00FB77FB">
        <w:rPr>
          <w:sz w:val="20"/>
        </w:rPr>
        <w:t>flows and stock, 2007-2009</w:t>
      </w:r>
      <w:r w:rsidR="004327E8" w:rsidRPr="00FB77FB">
        <w:rPr>
          <w:sz w:val="20"/>
        </w:rPr>
        <w:t xml:space="preserve"> (billions of USD)</w:t>
      </w:r>
    </w:p>
    <w:tbl>
      <w:tblPr>
        <w:tblW w:w="5310" w:type="dxa"/>
        <w:tblLayout w:type="fixed"/>
        <w:tblLook w:val="04A0"/>
      </w:tblPr>
      <w:tblGrid>
        <w:gridCol w:w="1530"/>
        <w:gridCol w:w="630"/>
        <w:gridCol w:w="630"/>
        <w:gridCol w:w="630"/>
        <w:gridCol w:w="630"/>
        <w:gridCol w:w="630"/>
        <w:gridCol w:w="630"/>
      </w:tblGrid>
      <w:tr w:rsidR="0095456A" w:rsidRPr="00FB77FB" w:rsidTr="006E13E7">
        <w:trPr>
          <w:trHeight w:val="144"/>
        </w:trPr>
        <w:tc>
          <w:tcPr>
            <w:tcW w:w="1530" w:type="dxa"/>
            <w:tcBorders>
              <w:top w:val="single" w:sz="8" w:space="0" w:color="auto"/>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color w:val="000000"/>
                <w:sz w:val="16"/>
                <w:szCs w:val="16"/>
              </w:rPr>
            </w:pPr>
            <w:r w:rsidRPr="00FB77FB">
              <w:rPr>
                <w:rFonts w:eastAsia="Times New Roman"/>
                <w:color w:val="000000"/>
                <w:sz w:val="16"/>
                <w:szCs w:val="16"/>
              </w:rPr>
              <w:t> </w:t>
            </w:r>
          </w:p>
        </w:tc>
        <w:tc>
          <w:tcPr>
            <w:tcW w:w="1890" w:type="dxa"/>
            <w:gridSpan w:val="3"/>
            <w:tcBorders>
              <w:top w:val="single" w:sz="8" w:space="0" w:color="auto"/>
              <w:left w:val="nil"/>
              <w:bottom w:val="single" w:sz="4" w:space="0" w:color="BFBFBF"/>
              <w:right w:val="single" w:sz="4" w:space="0" w:color="BFBFBF"/>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color w:val="000000"/>
                <w:sz w:val="16"/>
                <w:szCs w:val="16"/>
              </w:rPr>
            </w:pPr>
            <w:r w:rsidRPr="00FB77FB">
              <w:rPr>
                <w:rFonts w:eastAsia="Times New Roman"/>
                <w:b/>
                <w:bCs/>
                <w:color w:val="000000"/>
                <w:sz w:val="16"/>
                <w:szCs w:val="16"/>
              </w:rPr>
              <w:t>Inward</w:t>
            </w:r>
          </w:p>
        </w:tc>
        <w:tc>
          <w:tcPr>
            <w:tcW w:w="1890" w:type="dxa"/>
            <w:gridSpan w:val="3"/>
            <w:tcBorders>
              <w:top w:val="single" w:sz="8" w:space="0" w:color="auto"/>
              <w:left w:val="nil"/>
              <w:bottom w:val="single" w:sz="4" w:space="0" w:color="BFBFBF"/>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color w:val="000000"/>
                <w:sz w:val="16"/>
                <w:szCs w:val="16"/>
              </w:rPr>
            </w:pPr>
            <w:r w:rsidRPr="00FB77FB">
              <w:rPr>
                <w:rFonts w:eastAsia="Times New Roman"/>
                <w:b/>
                <w:bCs/>
                <w:color w:val="000000"/>
                <w:sz w:val="16"/>
                <w:szCs w:val="16"/>
              </w:rPr>
              <w:t>Outward</w:t>
            </w:r>
          </w:p>
        </w:tc>
      </w:tr>
      <w:tr w:rsidR="0095456A" w:rsidRPr="00FB77FB" w:rsidTr="006E13E7">
        <w:trPr>
          <w:trHeight w:val="144"/>
        </w:trPr>
        <w:tc>
          <w:tcPr>
            <w:tcW w:w="15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ind w:firstLineChars="100" w:firstLine="161"/>
              <w:rPr>
                <w:rFonts w:eastAsia="Times New Roman"/>
                <w:b/>
                <w:bCs/>
                <w:sz w:val="16"/>
                <w:szCs w:val="16"/>
              </w:rPr>
            </w:pPr>
            <w:r w:rsidRPr="00FB77FB">
              <w:rPr>
                <w:rFonts w:eastAsia="Times New Roman"/>
                <w:b/>
                <w:bCs/>
                <w:sz w:val="16"/>
                <w:szCs w:val="16"/>
              </w:rPr>
              <w:t> </w:t>
            </w:r>
          </w:p>
        </w:tc>
        <w:tc>
          <w:tcPr>
            <w:tcW w:w="630" w:type="dxa"/>
            <w:tcBorders>
              <w:top w:val="nil"/>
              <w:left w:val="nil"/>
              <w:bottom w:val="single" w:sz="8" w:space="0" w:color="auto"/>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2007</w:t>
            </w:r>
          </w:p>
        </w:tc>
        <w:tc>
          <w:tcPr>
            <w:tcW w:w="630" w:type="dxa"/>
            <w:tcBorders>
              <w:top w:val="nil"/>
              <w:left w:val="nil"/>
              <w:bottom w:val="single" w:sz="8" w:space="0" w:color="auto"/>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2008</w:t>
            </w:r>
          </w:p>
        </w:tc>
        <w:tc>
          <w:tcPr>
            <w:tcW w:w="630" w:type="dxa"/>
            <w:tcBorders>
              <w:top w:val="nil"/>
              <w:left w:val="nil"/>
              <w:bottom w:val="single" w:sz="8" w:space="0" w:color="auto"/>
              <w:right w:val="single" w:sz="4" w:space="0" w:color="BFBFBF"/>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2009</w:t>
            </w:r>
          </w:p>
        </w:tc>
        <w:tc>
          <w:tcPr>
            <w:tcW w:w="630" w:type="dxa"/>
            <w:tcBorders>
              <w:top w:val="nil"/>
              <w:left w:val="nil"/>
              <w:bottom w:val="single" w:sz="8" w:space="0" w:color="auto"/>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2007</w:t>
            </w:r>
          </w:p>
        </w:tc>
        <w:tc>
          <w:tcPr>
            <w:tcW w:w="630" w:type="dxa"/>
            <w:tcBorders>
              <w:top w:val="nil"/>
              <w:left w:val="nil"/>
              <w:bottom w:val="single" w:sz="8" w:space="0" w:color="auto"/>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2008</w:t>
            </w:r>
          </w:p>
        </w:tc>
        <w:tc>
          <w:tcPr>
            <w:tcW w:w="630" w:type="dxa"/>
            <w:tcBorders>
              <w:top w:val="nil"/>
              <w:left w:val="nil"/>
              <w:bottom w:val="single" w:sz="8" w:space="0" w:color="auto"/>
              <w:right w:val="nil"/>
            </w:tcBorders>
            <w:shd w:val="clear" w:color="auto" w:fill="auto"/>
            <w:noWrap/>
            <w:tcMar>
              <w:left w:w="0" w:type="dxa"/>
              <w:right w:w="0" w:type="dxa"/>
            </w:tcMar>
            <w:vAlign w:val="center"/>
            <w:hideMark/>
          </w:tcPr>
          <w:p w:rsidR="0095456A" w:rsidRPr="00FB77FB" w:rsidRDefault="0095456A" w:rsidP="006E13E7">
            <w:pPr>
              <w:jc w:val="center"/>
              <w:rPr>
                <w:rFonts w:eastAsia="Times New Roman"/>
                <w:b/>
                <w:bCs/>
                <w:sz w:val="16"/>
                <w:szCs w:val="16"/>
              </w:rPr>
            </w:pPr>
            <w:r w:rsidRPr="00FB77FB">
              <w:rPr>
                <w:rFonts w:eastAsia="Times New Roman"/>
                <w:b/>
                <w:bCs/>
                <w:sz w:val="16"/>
                <w:szCs w:val="16"/>
              </w:rPr>
              <w:t>2009</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color w:val="000000"/>
                <w:sz w:val="16"/>
                <w:szCs w:val="16"/>
              </w:rPr>
            </w:pPr>
          </w:p>
        </w:tc>
        <w:tc>
          <w:tcPr>
            <w:tcW w:w="3780" w:type="dxa"/>
            <w:gridSpan w:val="6"/>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jc w:val="center"/>
              <w:rPr>
                <w:rFonts w:eastAsia="Times New Roman"/>
                <w:b/>
                <w:bCs/>
                <w:sz w:val="16"/>
                <w:szCs w:val="16"/>
              </w:rPr>
            </w:pPr>
            <w:r w:rsidRPr="00FB77FB">
              <w:rPr>
                <w:rFonts w:eastAsia="Times New Roman"/>
                <w:b/>
                <w:bCs/>
                <w:sz w:val="16"/>
                <w:szCs w:val="16"/>
              </w:rPr>
              <w:t>FDI Flows</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sz w:val="16"/>
                <w:szCs w:val="16"/>
              </w:rPr>
            </w:pPr>
            <w:r w:rsidRPr="00FB77FB">
              <w:rPr>
                <w:rFonts w:eastAsia="Times New Roman"/>
                <w:sz w:val="16"/>
                <w:szCs w:val="16"/>
              </w:rPr>
              <w:t>APEC</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767</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805</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440</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764</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785</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580</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A8431E" w:rsidP="0095456A">
            <w:pPr>
              <w:rPr>
                <w:rFonts w:eastAsia="Times New Roman"/>
                <w:sz w:val="16"/>
                <w:szCs w:val="16"/>
              </w:rPr>
            </w:pPr>
            <w:r>
              <w:rPr>
                <w:rFonts w:eastAsia="Times New Roman"/>
                <w:sz w:val="16"/>
                <w:szCs w:val="16"/>
              </w:rPr>
              <w:t xml:space="preserve">   </w:t>
            </w:r>
            <w:r w:rsidR="0095456A" w:rsidRPr="00FB77FB">
              <w:rPr>
                <w:rFonts w:eastAsia="Times New Roman"/>
                <w:sz w:val="16"/>
                <w:szCs w:val="16"/>
              </w:rPr>
              <w:t>APEC-industrialized</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446</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456</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183</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547</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572</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380</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A8431E" w:rsidP="0095456A">
            <w:pPr>
              <w:rPr>
                <w:rFonts w:eastAsia="Times New Roman"/>
                <w:sz w:val="16"/>
                <w:szCs w:val="16"/>
              </w:rPr>
            </w:pPr>
            <w:r>
              <w:rPr>
                <w:rFonts w:eastAsia="Times New Roman"/>
                <w:sz w:val="16"/>
                <w:szCs w:val="16"/>
              </w:rPr>
              <w:t xml:space="preserve">   </w:t>
            </w:r>
            <w:r w:rsidR="0095456A" w:rsidRPr="00FB77FB">
              <w:rPr>
                <w:rFonts w:eastAsia="Times New Roman"/>
                <w:sz w:val="16"/>
                <w:szCs w:val="16"/>
              </w:rPr>
              <w:t>APEC-developing</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321</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349</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257</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217</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213</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200</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sz w:val="16"/>
                <w:szCs w:val="16"/>
              </w:rPr>
            </w:pPr>
            <w:r w:rsidRPr="00FB77FB">
              <w:rPr>
                <w:rFonts w:eastAsia="Times New Roman"/>
                <w:sz w:val="16"/>
                <w:szCs w:val="16"/>
              </w:rPr>
              <w:t>World</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2,100</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1,771</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1,114</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2,268</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1,929</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1,101</w:t>
            </w:r>
          </w:p>
        </w:tc>
      </w:tr>
      <w:tr w:rsidR="0095456A" w:rsidRPr="00FB77FB" w:rsidTr="006E13E7">
        <w:trPr>
          <w:trHeight w:val="144"/>
        </w:trPr>
        <w:tc>
          <w:tcPr>
            <w:tcW w:w="15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A8431E" w:rsidP="0095456A">
            <w:pPr>
              <w:rPr>
                <w:rFonts w:eastAsia="Times New Roman"/>
                <w:sz w:val="16"/>
                <w:szCs w:val="16"/>
              </w:rPr>
            </w:pPr>
            <w:r>
              <w:rPr>
                <w:rFonts w:eastAsia="Times New Roman"/>
                <w:sz w:val="16"/>
                <w:szCs w:val="16"/>
              </w:rPr>
              <w:t xml:space="preserve">   </w:t>
            </w:r>
            <w:r w:rsidR="0095456A" w:rsidRPr="00FB77FB">
              <w:rPr>
                <w:rFonts w:eastAsia="Times New Roman"/>
                <w:sz w:val="16"/>
                <w:szCs w:val="16"/>
              </w:rPr>
              <w:t>APEC share of world</w:t>
            </w:r>
          </w:p>
        </w:tc>
        <w:tc>
          <w:tcPr>
            <w:tcW w:w="6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sidRPr="00FB77FB">
              <w:rPr>
                <w:rFonts w:eastAsia="Times New Roman"/>
                <w:sz w:val="16"/>
                <w:szCs w:val="16"/>
              </w:rPr>
              <w:t>3</w:t>
            </w:r>
            <w:r>
              <w:rPr>
                <w:rFonts w:eastAsia="Times New Roman"/>
                <w:sz w:val="16"/>
                <w:szCs w:val="16"/>
              </w:rPr>
              <w:t>7</w:t>
            </w:r>
            <w:r w:rsidRPr="00FB77FB">
              <w:rPr>
                <w:rFonts w:eastAsia="Times New Roman"/>
                <w:sz w:val="16"/>
                <w:szCs w:val="16"/>
              </w:rPr>
              <w:t>%</w:t>
            </w:r>
          </w:p>
        </w:tc>
        <w:tc>
          <w:tcPr>
            <w:tcW w:w="6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sidRPr="00FB77FB">
              <w:rPr>
                <w:rFonts w:eastAsia="Times New Roman"/>
                <w:sz w:val="16"/>
                <w:szCs w:val="16"/>
              </w:rPr>
              <w:t>45%</w:t>
            </w:r>
          </w:p>
        </w:tc>
        <w:tc>
          <w:tcPr>
            <w:tcW w:w="630" w:type="dxa"/>
            <w:tcBorders>
              <w:top w:val="nil"/>
              <w:left w:val="nil"/>
              <w:bottom w:val="single" w:sz="4" w:space="0" w:color="BFBFBF"/>
              <w:right w:val="single" w:sz="4" w:space="0" w:color="BFBFBF"/>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Pr>
                <w:rFonts w:eastAsia="Times New Roman"/>
                <w:sz w:val="16"/>
                <w:szCs w:val="16"/>
              </w:rPr>
              <w:t>40</w:t>
            </w:r>
            <w:r w:rsidRPr="00FB77FB">
              <w:rPr>
                <w:rFonts w:eastAsia="Times New Roman"/>
                <w:sz w:val="16"/>
                <w:szCs w:val="16"/>
              </w:rPr>
              <w:t>%</w:t>
            </w:r>
          </w:p>
        </w:tc>
        <w:tc>
          <w:tcPr>
            <w:tcW w:w="6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sidRPr="00FB77FB">
              <w:rPr>
                <w:rFonts w:eastAsia="Times New Roman"/>
                <w:sz w:val="16"/>
                <w:szCs w:val="16"/>
              </w:rPr>
              <w:t>3</w:t>
            </w:r>
            <w:r>
              <w:rPr>
                <w:rFonts w:eastAsia="Times New Roman"/>
                <w:sz w:val="16"/>
                <w:szCs w:val="16"/>
              </w:rPr>
              <w:t>4</w:t>
            </w:r>
            <w:r w:rsidRPr="00FB77FB">
              <w:rPr>
                <w:rFonts w:eastAsia="Times New Roman"/>
                <w:sz w:val="16"/>
                <w:szCs w:val="16"/>
              </w:rPr>
              <w:t>%</w:t>
            </w:r>
          </w:p>
        </w:tc>
        <w:tc>
          <w:tcPr>
            <w:tcW w:w="6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sidRPr="00FB77FB">
              <w:rPr>
                <w:rFonts w:eastAsia="Times New Roman"/>
                <w:sz w:val="16"/>
                <w:szCs w:val="16"/>
              </w:rPr>
              <w:t>4</w:t>
            </w:r>
            <w:r>
              <w:rPr>
                <w:rFonts w:eastAsia="Times New Roman"/>
                <w:sz w:val="16"/>
                <w:szCs w:val="16"/>
              </w:rPr>
              <w:t>1</w:t>
            </w:r>
            <w:r w:rsidRPr="00FB77FB">
              <w:rPr>
                <w:rFonts w:eastAsia="Times New Roman"/>
                <w:sz w:val="16"/>
                <w:szCs w:val="16"/>
              </w:rPr>
              <w:t>%</w:t>
            </w:r>
          </w:p>
        </w:tc>
        <w:tc>
          <w:tcPr>
            <w:tcW w:w="630" w:type="dxa"/>
            <w:tcBorders>
              <w:top w:val="nil"/>
              <w:left w:val="nil"/>
              <w:bottom w:val="single" w:sz="4" w:space="0" w:color="BFBFBF"/>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sz w:val="16"/>
                <w:szCs w:val="16"/>
              </w:rPr>
            </w:pPr>
            <w:r w:rsidRPr="00FB77FB">
              <w:rPr>
                <w:rFonts w:eastAsia="Times New Roman"/>
                <w:sz w:val="16"/>
                <w:szCs w:val="16"/>
              </w:rPr>
              <w:t>5</w:t>
            </w:r>
            <w:r>
              <w:rPr>
                <w:rFonts w:eastAsia="Times New Roman"/>
                <w:sz w:val="16"/>
                <w:szCs w:val="16"/>
              </w:rPr>
              <w:t>3</w:t>
            </w:r>
            <w:r w:rsidRPr="00FB77FB">
              <w:rPr>
                <w:rFonts w:eastAsia="Times New Roman"/>
                <w:sz w:val="16"/>
                <w:szCs w:val="16"/>
              </w:rPr>
              <w:t>%</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color w:val="000000"/>
                <w:sz w:val="16"/>
                <w:szCs w:val="16"/>
              </w:rPr>
            </w:pPr>
          </w:p>
        </w:tc>
        <w:tc>
          <w:tcPr>
            <w:tcW w:w="3780" w:type="dxa"/>
            <w:gridSpan w:val="6"/>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jc w:val="center"/>
              <w:rPr>
                <w:rFonts w:eastAsia="Times New Roman"/>
                <w:b/>
                <w:bCs/>
                <w:color w:val="000000"/>
                <w:sz w:val="16"/>
                <w:szCs w:val="16"/>
              </w:rPr>
            </w:pPr>
            <w:r w:rsidRPr="00FB77FB">
              <w:rPr>
                <w:rFonts w:eastAsia="Times New Roman"/>
                <w:b/>
                <w:bCs/>
                <w:color w:val="000000"/>
                <w:sz w:val="16"/>
                <w:szCs w:val="16"/>
              </w:rPr>
              <w:t>FDI Stock</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sz w:val="16"/>
                <w:szCs w:val="16"/>
              </w:rPr>
            </w:pPr>
            <w:r w:rsidRPr="00FB77FB">
              <w:rPr>
                <w:rFonts w:eastAsia="Times New Roman"/>
                <w:sz w:val="16"/>
                <w:szCs w:val="16"/>
              </w:rPr>
              <w:t>APEC</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7,910</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6,176</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7,185</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8,795</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6,348</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8,017</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A8431E" w:rsidP="0095456A">
            <w:pPr>
              <w:rPr>
                <w:rFonts w:eastAsia="Times New Roman"/>
                <w:sz w:val="16"/>
                <w:szCs w:val="16"/>
              </w:rPr>
            </w:pPr>
            <w:r>
              <w:rPr>
                <w:rFonts w:eastAsia="Times New Roman"/>
                <w:sz w:val="16"/>
                <w:szCs w:val="16"/>
              </w:rPr>
              <w:t xml:space="preserve">   </w:t>
            </w:r>
            <w:r w:rsidR="0095456A" w:rsidRPr="00FB77FB">
              <w:rPr>
                <w:rFonts w:eastAsia="Times New Roman"/>
                <w:sz w:val="16"/>
                <w:szCs w:val="16"/>
              </w:rPr>
              <w:t>APEC-industrialized</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4,699</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3,555</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4,240</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6,692</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4,561</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5,969</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A8431E" w:rsidP="0095456A">
            <w:pPr>
              <w:rPr>
                <w:rFonts w:eastAsia="Times New Roman"/>
                <w:sz w:val="16"/>
                <w:szCs w:val="16"/>
              </w:rPr>
            </w:pPr>
            <w:r>
              <w:rPr>
                <w:rFonts w:eastAsia="Times New Roman"/>
                <w:sz w:val="16"/>
                <w:szCs w:val="16"/>
              </w:rPr>
              <w:t xml:space="preserve">   </w:t>
            </w:r>
            <w:r w:rsidR="0095456A" w:rsidRPr="00FB77FB">
              <w:rPr>
                <w:rFonts w:eastAsia="Times New Roman"/>
                <w:sz w:val="16"/>
                <w:szCs w:val="16"/>
              </w:rPr>
              <w:t>APEC-developing</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3,211</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2,621</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2,945</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2,103</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1,786</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2,048</w:t>
            </w:r>
          </w:p>
        </w:tc>
      </w:tr>
      <w:tr w:rsidR="0095456A" w:rsidRPr="00FB77FB" w:rsidTr="006E13E7">
        <w:trPr>
          <w:trHeight w:val="144"/>
        </w:trPr>
        <w:tc>
          <w:tcPr>
            <w:tcW w:w="1530" w:type="dxa"/>
            <w:tcBorders>
              <w:top w:val="nil"/>
              <w:left w:val="nil"/>
              <w:bottom w:val="nil"/>
              <w:right w:val="nil"/>
            </w:tcBorders>
            <w:shd w:val="clear" w:color="auto" w:fill="auto"/>
            <w:noWrap/>
            <w:tcMar>
              <w:left w:w="0" w:type="dxa"/>
              <w:right w:w="0" w:type="dxa"/>
            </w:tcMar>
            <w:vAlign w:val="bottom"/>
            <w:hideMark/>
          </w:tcPr>
          <w:p w:rsidR="0095456A" w:rsidRPr="00FB77FB" w:rsidRDefault="0095456A" w:rsidP="0095456A">
            <w:pPr>
              <w:rPr>
                <w:rFonts w:eastAsia="Times New Roman"/>
                <w:sz w:val="16"/>
                <w:szCs w:val="16"/>
              </w:rPr>
            </w:pPr>
            <w:r w:rsidRPr="00FB77FB">
              <w:rPr>
                <w:rFonts w:eastAsia="Times New Roman"/>
                <w:sz w:val="16"/>
                <w:szCs w:val="16"/>
              </w:rPr>
              <w:t>World</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17,990</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15,491</w:t>
            </w:r>
          </w:p>
        </w:tc>
        <w:tc>
          <w:tcPr>
            <w:tcW w:w="630" w:type="dxa"/>
            <w:tcBorders>
              <w:top w:val="nil"/>
              <w:left w:val="nil"/>
              <w:bottom w:val="nil"/>
              <w:right w:val="single" w:sz="4" w:space="0" w:color="BFBFBF"/>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17,743</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19,314</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sz w:val="16"/>
                <w:szCs w:val="16"/>
              </w:rPr>
            </w:pPr>
            <w:r w:rsidRPr="007A758B">
              <w:rPr>
                <w:sz w:val="16"/>
                <w:szCs w:val="16"/>
              </w:rPr>
              <w:t>16,207</w:t>
            </w:r>
          </w:p>
        </w:tc>
        <w:tc>
          <w:tcPr>
            <w:tcW w:w="630" w:type="dxa"/>
            <w:tcBorders>
              <w:top w:val="nil"/>
              <w:left w:val="nil"/>
              <w:bottom w:val="nil"/>
              <w:right w:val="nil"/>
            </w:tcBorders>
            <w:shd w:val="clear" w:color="auto" w:fill="auto"/>
            <w:noWrap/>
            <w:tcMar>
              <w:left w:w="0" w:type="dxa"/>
              <w:right w:w="0" w:type="dxa"/>
            </w:tcMar>
            <w:vAlign w:val="bottom"/>
            <w:hideMark/>
          </w:tcPr>
          <w:p w:rsidR="0095456A" w:rsidRPr="007A758B" w:rsidRDefault="0095456A" w:rsidP="0095456A">
            <w:pPr>
              <w:jc w:val="right"/>
              <w:rPr>
                <w:color w:val="000000"/>
                <w:sz w:val="16"/>
                <w:szCs w:val="16"/>
              </w:rPr>
            </w:pPr>
            <w:r w:rsidRPr="007A758B">
              <w:rPr>
                <w:color w:val="000000"/>
                <w:sz w:val="16"/>
                <w:szCs w:val="16"/>
              </w:rPr>
              <w:t>18,982</w:t>
            </w:r>
          </w:p>
        </w:tc>
      </w:tr>
      <w:tr w:rsidR="0095456A" w:rsidRPr="00FB77FB" w:rsidTr="006E13E7">
        <w:trPr>
          <w:trHeight w:val="144"/>
        </w:trPr>
        <w:tc>
          <w:tcPr>
            <w:tcW w:w="15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A8431E" w:rsidP="0095456A">
            <w:pPr>
              <w:rPr>
                <w:rFonts w:eastAsia="Times New Roman"/>
                <w:color w:val="000000"/>
                <w:sz w:val="16"/>
                <w:szCs w:val="16"/>
              </w:rPr>
            </w:pPr>
            <w:r>
              <w:rPr>
                <w:rFonts w:eastAsia="Times New Roman"/>
                <w:color w:val="000000"/>
                <w:sz w:val="16"/>
                <w:szCs w:val="16"/>
              </w:rPr>
              <w:t xml:space="preserve">   </w:t>
            </w:r>
            <w:r w:rsidR="0095456A" w:rsidRPr="00FB77FB">
              <w:rPr>
                <w:rFonts w:eastAsia="Times New Roman"/>
                <w:color w:val="000000"/>
                <w:sz w:val="16"/>
                <w:szCs w:val="16"/>
              </w:rPr>
              <w:t>APEC share of world</w:t>
            </w:r>
          </w:p>
        </w:tc>
        <w:tc>
          <w:tcPr>
            <w:tcW w:w="6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sidRPr="00FB77FB">
              <w:rPr>
                <w:rFonts w:eastAsia="Times New Roman"/>
                <w:color w:val="000000"/>
                <w:sz w:val="16"/>
                <w:szCs w:val="16"/>
              </w:rPr>
              <w:t>44%</w:t>
            </w:r>
          </w:p>
        </w:tc>
        <w:tc>
          <w:tcPr>
            <w:tcW w:w="6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Pr>
                <w:rFonts w:eastAsia="Times New Roman"/>
                <w:color w:val="000000"/>
                <w:sz w:val="16"/>
                <w:szCs w:val="16"/>
              </w:rPr>
              <w:t>40</w:t>
            </w:r>
            <w:r w:rsidRPr="00FB77FB">
              <w:rPr>
                <w:rFonts w:eastAsia="Times New Roman"/>
                <w:color w:val="000000"/>
                <w:sz w:val="16"/>
                <w:szCs w:val="16"/>
              </w:rPr>
              <w:t>%</w:t>
            </w:r>
          </w:p>
        </w:tc>
        <w:tc>
          <w:tcPr>
            <w:tcW w:w="630" w:type="dxa"/>
            <w:tcBorders>
              <w:top w:val="nil"/>
              <w:left w:val="nil"/>
              <w:bottom w:val="single" w:sz="8" w:space="0" w:color="auto"/>
              <w:right w:val="single" w:sz="4" w:space="0" w:color="BFBFBF"/>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sidRPr="00FB77FB">
              <w:rPr>
                <w:rFonts w:eastAsia="Times New Roman"/>
                <w:color w:val="000000"/>
                <w:sz w:val="16"/>
                <w:szCs w:val="16"/>
              </w:rPr>
              <w:t>40%</w:t>
            </w:r>
          </w:p>
        </w:tc>
        <w:tc>
          <w:tcPr>
            <w:tcW w:w="6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sidRPr="00FB77FB">
              <w:rPr>
                <w:rFonts w:eastAsia="Times New Roman"/>
                <w:color w:val="000000"/>
                <w:sz w:val="16"/>
                <w:szCs w:val="16"/>
              </w:rPr>
              <w:t>4</w:t>
            </w:r>
            <w:r>
              <w:rPr>
                <w:rFonts w:eastAsia="Times New Roman"/>
                <w:color w:val="000000"/>
                <w:sz w:val="16"/>
                <w:szCs w:val="16"/>
              </w:rPr>
              <w:t>6</w:t>
            </w:r>
            <w:r w:rsidRPr="00FB77FB">
              <w:rPr>
                <w:rFonts w:eastAsia="Times New Roman"/>
                <w:color w:val="000000"/>
                <w:sz w:val="16"/>
                <w:szCs w:val="16"/>
              </w:rPr>
              <w:t>%</w:t>
            </w:r>
          </w:p>
        </w:tc>
        <w:tc>
          <w:tcPr>
            <w:tcW w:w="6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sidRPr="00FB77FB">
              <w:rPr>
                <w:rFonts w:eastAsia="Times New Roman"/>
                <w:color w:val="000000"/>
                <w:sz w:val="16"/>
                <w:szCs w:val="16"/>
              </w:rPr>
              <w:t>39%</w:t>
            </w:r>
          </w:p>
        </w:tc>
        <w:tc>
          <w:tcPr>
            <w:tcW w:w="630" w:type="dxa"/>
            <w:tcBorders>
              <w:top w:val="nil"/>
              <w:left w:val="nil"/>
              <w:bottom w:val="single" w:sz="8" w:space="0" w:color="auto"/>
              <w:right w:val="nil"/>
            </w:tcBorders>
            <w:shd w:val="clear" w:color="auto" w:fill="auto"/>
            <w:noWrap/>
            <w:tcMar>
              <w:left w:w="0" w:type="dxa"/>
              <w:right w:w="0" w:type="dxa"/>
            </w:tcMar>
            <w:vAlign w:val="bottom"/>
            <w:hideMark/>
          </w:tcPr>
          <w:p w:rsidR="0095456A" w:rsidRPr="00FB77FB" w:rsidRDefault="0095456A" w:rsidP="0095456A">
            <w:pPr>
              <w:jc w:val="right"/>
              <w:rPr>
                <w:rFonts w:eastAsia="Times New Roman"/>
                <w:color w:val="000000"/>
                <w:sz w:val="16"/>
                <w:szCs w:val="16"/>
              </w:rPr>
            </w:pPr>
            <w:r w:rsidRPr="00FB77FB">
              <w:rPr>
                <w:rFonts w:eastAsia="Times New Roman"/>
                <w:color w:val="000000"/>
                <w:sz w:val="16"/>
                <w:szCs w:val="16"/>
              </w:rPr>
              <w:t>42%</w:t>
            </w:r>
          </w:p>
        </w:tc>
      </w:tr>
    </w:tbl>
    <w:p w:rsidR="00114E97" w:rsidRDefault="00114E97" w:rsidP="00114E97">
      <w:pPr>
        <w:rPr>
          <w:sz w:val="20"/>
        </w:rPr>
      </w:pPr>
      <w:r>
        <w:rPr>
          <w:sz w:val="20"/>
        </w:rPr>
        <w:br w:type="page"/>
      </w:r>
    </w:p>
    <w:p w:rsidR="00B15064" w:rsidRDefault="00B15064" w:rsidP="00B15064">
      <w:pPr>
        <w:spacing w:after="120"/>
        <w:rPr>
          <w:sz w:val="20"/>
        </w:rPr>
      </w:pPr>
      <w:r w:rsidRPr="00FB77FB">
        <w:rPr>
          <w:sz w:val="20"/>
        </w:rPr>
        <w:lastRenderedPageBreak/>
        <w:t>Figure A. FDI inflows, 2000-2009</w:t>
      </w:r>
    </w:p>
    <w:p w:rsidR="00B15064" w:rsidRPr="003B032E" w:rsidRDefault="00B15064" w:rsidP="00B15064">
      <w:pPr>
        <w:rPr>
          <w:sz w:val="20"/>
        </w:rPr>
      </w:pPr>
      <w:r w:rsidRPr="003B032E">
        <w:rPr>
          <w:noProof/>
          <w:sz w:val="20"/>
          <w:lang w:eastAsia="zh-CN"/>
        </w:rPr>
        <w:drawing>
          <wp:inline distT="0" distB="0" distL="0" distR="0">
            <wp:extent cx="3310128" cy="2419350"/>
            <wp:effectExtent l="19050" t="0" r="23622"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5064" w:rsidRPr="00843C74" w:rsidRDefault="00B15064" w:rsidP="00B15064">
      <w:pPr>
        <w:rPr>
          <w:sz w:val="16"/>
          <w:szCs w:val="16"/>
        </w:rPr>
      </w:pPr>
      <w:r w:rsidRPr="00843C74">
        <w:rPr>
          <w:sz w:val="16"/>
          <w:szCs w:val="16"/>
        </w:rPr>
        <w:t>Note: GFCF = gross fixed capital formation</w:t>
      </w:r>
    </w:p>
    <w:p w:rsidR="00B15064" w:rsidRDefault="00B15064" w:rsidP="00B15064">
      <w:pPr>
        <w:rPr>
          <w:sz w:val="20"/>
        </w:rPr>
      </w:pPr>
    </w:p>
    <w:p w:rsidR="00B15064" w:rsidRDefault="00B15064" w:rsidP="00B15064">
      <w:pPr>
        <w:spacing w:after="120"/>
        <w:rPr>
          <w:sz w:val="20"/>
        </w:rPr>
      </w:pPr>
      <w:r>
        <w:rPr>
          <w:sz w:val="20"/>
        </w:rPr>
        <w:t>Figure C. FDI outflows, 2000-2009</w:t>
      </w:r>
    </w:p>
    <w:p w:rsidR="00B15064" w:rsidRDefault="00B15064" w:rsidP="00B15064">
      <w:pPr>
        <w:rPr>
          <w:sz w:val="20"/>
        </w:rPr>
      </w:pPr>
      <w:r w:rsidRPr="007A2ACA">
        <w:rPr>
          <w:noProof/>
          <w:sz w:val="20"/>
          <w:lang w:eastAsia="zh-CN"/>
        </w:rPr>
        <w:drawing>
          <wp:inline distT="0" distB="0" distL="0" distR="0">
            <wp:extent cx="3310128" cy="2419350"/>
            <wp:effectExtent l="19050" t="0" r="23622"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5064" w:rsidRDefault="00B15064" w:rsidP="00B15064">
      <w:pPr>
        <w:rPr>
          <w:sz w:val="20"/>
        </w:rPr>
      </w:pPr>
    </w:p>
    <w:p w:rsidR="00302392" w:rsidRDefault="00302392" w:rsidP="00B15064">
      <w:pPr>
        <w:rPr>
          <w:sz w:val="20"/>
        </w:rPr>
      </w:pPr>
    </w:p>
    <w:p w:rsidR="00321B93" w:rsidRDefault="00321B93" w:rsidP="00321B93">
      <w:pPr>
        <w:pStyle w:val="ListParagraph"/>
        <w:numPr>
          <w:ilvl w:val="0"/>
          <w:numId w:val="1"/>
        </w:numPr>
        <w:spacing w:line="360" w:lineRule="auto"/>
        <w:jc w:val="both"/>
        <w:rPr>
          <w:sz w:val="20"/>
        </w:rPr>
      </w:pPr>
      <w:r>
        <w:rPr>
          <w:sz w:val="20"/>
        </w:rPr>
        <w:t>APEC and UNCTAD have actively collaborated in recent years. The</w:t>
      </w:r>
      <w:r w:rsidRPr="00673695">
        <w:rPr>
          <w:sz w:val="20"/>
        </w:rPr>
        <w:t xml:space="preserve"> Core Elements Project</w:t>
      </w:r>
      <w:r>
        <w:rPr>
          <w:sz w:val="20"/>
        </w:rPr>
        <w:t xml:space="preserve"> is the major joint activity – it </w:t>
      </w:r>
      <w:r w:rsidRPr="00673695">
        <w:rPr>
          <w:sz w:val="20"/>
        </w:rPr>
        <w:t>examined the core elements in existing APEC investment agreements in order to improve the</w:t>
      </w:r>
      <w:r>
        <w:rPr>
          <w:sz w:val="20"/>
        </w:rPr>
        <w:t>ir</w:t>
      </w:r>
      <w:r w:rsidRPr="00673695">
        <w:rPr>
          <w:sz w:val="20"/>
        </w:rPr>
        <w:t xml:space="preserve"> quality</w:t>
      </w:r>
      <w:r>
        <w:rPr>
          <w:sz w:val="20"/>
        </w:rPr>
        <w:t xml:space="preserve">. </w:t>
      </w:r>
      <w:r w:rsidRPr="00673695">
        <w:rPr>
          <w:sz w:val="20"/>
        </w:rPr>
        <w:t xml:space="preserve"> Under this project, </w:t>
      </w:r>
      <w:r>
        <w:rPr>
          <w:sz w:val="20"/>
        </w:rPr>
        <w:t xml:space="preserve">capacity building was also offered via a </w:t>
      </w:r>
      <w:r w:rsidRPr="00673695">
        <w:rPr>
          <w:sz w:val="20"/>
        </w:rPr>
        <w:t xml:space="preserve">training course </w:t>
      </w:r>
      <w:r>
        <w:rPr>
          <w:sz w:val="20"/>
        </w:rPr>
        <w:t>and</w:t>
      </w:r>
      <w:r w:rsidRPr="00673695">
        <w:rPr>
          <w:sz w:val="20"/>
        </w:rPr>
        <w:t xml:space="preserve"> </w:t>
      </w:r>
      <w:r>
        <w:rPr>
          <w:sz w:val="20"/>
        </w:rPr>
        <w:t>an investor-State dispute settlement workshop for public officials. More recently, UNCTAD prepared a report on the progress made in investment liberalization and facilitation by 13 APEC member economies towards the Bogor Goals. This report recognized that the selected economies have achieved substantial progress in both investment liberalization and facilitation.</w:t>
      </w:r>
    </w:p>
    <w:p w:rsidR="00B15064" w:rsidRPr="00FB77FB" w:rsidRDefault="007A2ACA" w:rsidP="00B150E9">
      <w:pPr>
        <w:autoSpaceDE w:val="0"/>
        <w:autoSpaceDN w:val="0"/>
        <w:adjustRightInd w:val="0"/>
        <w:spacing w:line="360" w:lineRule="auto"/>
        <w:jc w:val="both"/>
        <w:rPr>
          <w:sz w:val="20"/>
        </w:rPr>
      </w:pPr>
      <w:r>
        <w:rPr>
          <w:sz w:val="20"/>
        </w:rPr>
        <w:br w:type="column"/>
      </w:r>
      <w:r w:rsidR="00B15064" w:rsidRPr="00FB77FB">
        <w:rPr>
          <w:sz w:val="20"/>
        </w:rPr>
        <w:lastRenderedPageBreak/>
        <w:t>Figure B. Inward FDI stock, 2000-2009</w:t>
      </w:r>
    </w:p>
    <w:p w:rsidR="00B15064" w:rsidRDefault="00B15064" w:rsidP="00B15064">
      <w:pPr>
        <w:rPr>
          <w:sz w:val="20"/>
        </w:rPr>
      </w:pPr>
      <w:r w:rsidRPr="003B032E">
        <w:rPr>
          <w:noProof/>
          <w:sz w:val="20"/>
          <w:lang w:eastAsia="zh-CN"/>
        </w:rPr>
        <w:drawing>
          <wp:inline distT="0" distB="0" distL="0" distR="0">
            <wp:extent cx="3310128" cy="2419350"/>
            <wp:effectExtent l="19050" t="0" r="23622"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5064" w:rsidRPr="003377B2" w:rsidRDefault="00B15064" w:rsidP="00B15064">
      <w:pPr>
        <w:rPr>
          <w:sz w:val="16"/>
          <w:szCs w:val="16"/>
        </w:rPr>
      </w:pPr>
    </w:p>
    <w:p w:rsidR="00B15064" w:rsidRDefault="00B15064" w:rsidP="00B15064">
      <w:pPr>
        <w:rPr>
          <w:sz w:val="20"/>
        </w:rPr>
      </w:pPr>
    </w:p>
    <w:p w:rsidR="00B15064" w:rsidRDefault="00B15064" w:rsidP="00B15064">
      <w:pPr>
        <w:spacing w:after="120"/>
        <w:rPr>
          <w:sz w:val="20"/>
        </w:rPr>
      </w:pPr>
      <w:r>
        <w:rPr>
          <w:sz w:val="20"/>
        </w:rPr>
        <w:t>Figure D. Outward FDI stock, 2000-2009</w:t>
      </w:r>
    </w:p>
    <w:p w:rsidR="00B15064" w:rsidRDefault="00B15064" w:rsidP="00B15064">
      <w:pPr>
        <w:rPr>
          <w:sz w:val="20"/>
        </w:rPr>
      </w:pPr>
      <w:r w:rsidRPr="007A2ACA">
        <w:rPr>
          <w:noProof/>
          <w:sz w:val="20"/>
          <w:lang w:eastAsia="zh-CN"/>
        </w:rPr>
        <w:drawing>
          <wp:inline distT="0" distB="0" distL="0" distR="0">
            <wp:extent cx="3310128" cy="2419350"/>
            <wp:effectExtent l="19050" t="0" r="23622"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5064" w:rsidRDefault="00B15064" w:rsidP="00B15064">
      <w:pPr>
        <w:rPr>
          <w:sz w:val="20"/>
        </w:rPr>
      </w:pPr>
    </w:p>
    <w:p w:rsidR="00302392" w:rsidRDefault="00302392" w:rsidP="00B15064">
      <w:pPr>
        <w:rPr>
          <w:sz w:val="20"/>
        </w:rPr>
      </w:pPr>
    </w:p>
    <w:p w:rsidR="0025743A" w:rsidRDefault="00321B93" w:rsidP="00321B93">
      <w:pPr>
        <w:pStyle w:val="ListParagraph"/>
        <w:numPr>
          <w:ilvl w:val="0"/>
          <w:numId w:val="1"/>
        </w:numPr>
        <w:spacing w:line="360" w:lineRule="auto"/>
        <w:ind w:left="360"/>
        <w:jc w:val="both"/>
        <w:rPr>
          <w:sz w:val="20"/>
        </w:rPr>
      </w:pPr>
      <w:r>
        <w:rPr>
          <w:sz w:val="20"/>
        </w:rPr>
        <w:t>APEC has also been active in promoting investment l</w:t>
      </w:r>
      <w:r w:rsidRPr="00673695">
        <w:rPr>
          <w:sz w:val="20"/>
        </w:rPr>
        <w:t>iberalization and facilitation in the APEC region</w:t>
      </w:r>
      <w:r>
        <w:rPr>
          <w:sz w:val="20"/>
        </w:rPr>
        <w:t xml:space="preserve"> through collective actions. For example, i</w:t>
      </w:r>
      <w:r w:rsidRPr="00673695">
        <w:rPr>
          <w:sz w:val="20"/>
        </w:rPr>
        <w:t>n the area of transparency</w:t>
      </w:r>
      <w:r>
        <w:rPr>
          <w:sz w:val="20"/>
        </w:rPr>
        <w:t>, t</w:t>
      </w:r>
      <w:r w:rsidRPr="00673695">
        <w:rPr>
          <w:sz w:val="20"/>
        </w:rPr>
        <w:t xml:space="preserve">he APEC Transparency Standards on Investment </w:t>
      </w:r>
      <w:r>
        <w:rPr>
          <w:sz w:val="20"/>
        </w:rPr>
        <w:t xml:space="preserve">were </w:t>
      </w:r>
      <w:r w:rsidRPr="00673695">
        <w:rPr>
          <w:sz w:val="20"/>
        </w:rPr>
        <w:t>formulated in 2002 and the 6</w:t>
      </w:r>
      <w:r w:rsidR="00F67F7D" w:rsidRPr="00F67F7D">
        <w:rPr>
          <w:sz w:val="20"/>
          <w:vertAlign w:val="superscript"/>
        </w:rPr>
        <w:t>th</w:t>
      </w:r>
      <w:r w:rsidR="00F67F7D">
        <w:rPr>
          <w:sz w:val="20"/>
        </w:rPr>
        <w:t xml:space="preserve"> </w:t>
      </w:r>
      <w:r w:rsidRPr="00673695">
        <w:rPr>
          <w:sz w:val="20"/>
        </w:rPr>
        <w:t>edition of</w:t>
      </w:r>
      <w:r>
        <w:rPr>
          <w:sz w:val="20"/>
        </w:rPr>
        <w:t xml:space="preserve"> the</w:t>
      </w:r>
      <w:r w:rsidRPr="00673695">
        <w:rPr>
          <w:sz w:val="20"/>
        </w:rPr>
        <w:t xml:space="preserve"> Guide to the Investment Regimes of the APEC Member Economies </w:t>
      </w:r>
      <w:r>
        <w:rPr>
          <w:sz w:val="20"/>
        </w:rPr>
        <w:t xml:space="preserve">was </w:t>
      </w:r>
      <w:r w:rsidRPr="00673695">
        <w:rPr>
          <w:sz w:val="20"/>
        </w:rPr>
        <w:t xml:space="preserve">released in 2007 </w:t>
      </w:r>
      <w:r>
        <w:rPr>
          <w:sz w:val="20"/>
        </w:rPr>
        <w:t xml:space="preserve">with </w:t>
      </w:r>
      <w:r w:rsidRPr="00673695">
        <w:rPr>
          <w:sz w:val="20"/>
        </w:rPr>
        <w:t xml:space="preserve">an update </w:t>
      </w:r>
      <w:r>
        <w:rPr>
          <w:sz w:val="20"/>
        </w:rPr>
        <w:t>expect</w:t>
      </w:r>
      <w:r w:rsidRPr="00673695">
        <w:rPr>
          <w:sz w:val="20"/>
        </w:rPr>
        <w:t>ed at end-2010. The APEC Investment Facilitation Action Plan (IFAP), a guide to better practice in investment facilitation</w:t>
      </w:r>
      <w:r>
        <w:rPr>
          <w:sz w:val="20"/>
        </w:rPr>
        <w:t>,</w:t>
      </w:r>
      <w:r w:rsidRPr="00673695">
        <w:rPr>
          <w:sz w:val="20"/>
        </w:rPr>
        <w:t xml:space="preserve"> was endorsed in 2008</w:t>
      </w:r>
      <w:r>
        <w:rPr>
          <w:sz w:val="20"/>
        </w:rPr>
        <w:t xml:space="preserve"> and </w:t>
      </w:r>
      <w:r w:rsidRPr="00673695">
        <w:rPr>
          <w:sz w:val="20"/>
        </w:rPr>
        <w:t xml:space="preserve">provides a menu of actions and measures under </w:t>
      </w:r>
      <w:r w:rsidR="00F67F7D">
        <w:rPr>
          <w:sz w:val="20"/>
        </w:rPr>
        <w:t>eight</w:t>
      </w:r>
      <w:r w:rsidRPr="00673695">
        <w:rPr>
          <w:sz w:val="20"/>
        </w:rPr>
        <w:t xml:space="preserve"> non-exhaustive principles</w:t>
      </w:r>
      <w:r>
        <w:rPr>
          <w:sz w:val="20"/>
        </w:rPr>
        <w:t xml:space="preserve">, including the </w:t>
      </w:r>
      <w:r w:rsidRPr="00673695">
        <w:rPr>
          <w:sz w:val="20"/>
        </w:rPr>
        <w:t>stability of investment, security and protection; predictability</w:t>
      </w:r>
      <w:r>
        <w:rPr>
          <w:sz w:val="20"/>
        </w:rPr>
        <w:t xml:space="preserve"> and</w:t>
      </w:r>
      <w:r w:rsidRPr="00673695">
        <w:rPr>
          <w:sz w:val="20"/>
        </w:rPr>
        <w:t xml:space="preserve"> consistency in investment-related policies; </w:t>
      </w:r>
      <w:r>
        <w:rPr>
          <w:sz w:val="20"/>
        </w:rPr>
        <w:t xml:space="preserve">and </w:t>
      </w:r>
      <w:r w:rsidRPr="00673695">
        <w:rPr>
          <w:sz w:val="20"/>
        </w:rPr>
        <w:t>efficiency of investment procedures.</w:t>
      </w:r>
    </w:p>
    <w:sectPr w:rsidR="0025743A" w:rsidSect="00404675">
      <w:headerReference w:type="even" r:id="rId12"/>
      <w:headerReference w:type="default" r:id="rId13"/>
      <w:headerReference w:type="first" r:id="rId14"/>
      <w:footerReference w:type="first" r:id="rId15"/>
      <w:type w:val="continuous"/>
      <w:pgSz w:w="11909" w:h="16834" w:code="9"/>
      <w:pgMar w:top="1440" w:right="1019" w:bottom="990" w:left="547" w:header="720" w:footer="720" w:gutter="0"/>
      <w:paperSrc w:first="7" w:other="7"/>
      <w:cols w:num="2" w:space="443"/>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C4F" w:rsidRDefault="00467C4F" w:rsidP="00623AAC">
      <w:r>
        <w:separator/>
      </w:r>
    </w:p>
  </w:endnote>
  <w:endnote w:type="continuationSeparator" w:id="0">
    <w:p w:rsidR="00467C4F" w:rsidRDefault="00467C4F" w:rsidP="00623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5" w:rsidRDefault="00F05FB5" w:rsidP="00925387">
    <w:pPr>
      <w:pStyle w:val="Footer"/>
      <w:ind w:left="360" w:right="-7"/>
      <w:jc w:val="both"/>
      <w:rPr>
        <w:sz w:val="18"/>
        <w:szCs w:val="18"/>
      </w:rPr>
    </w:pPr>
    <w:r w:rsidRPr="00B44EF5">
      <w:rPr>
        <w:sz w:val="18"/>
        <w:szCs w:val="18"/>
      </w:rPr>
      <w:t xml:space="preserve">This regional report uses data released by UNCTAD with the launch of their </w:t>
    </w:r>
    <w:r w:rsidRPr="00B44EF5">
      <w:rPr>
        <w:i/>
        <w:sz w:val="18"/>
        <w:szCs w:val="18"/>
      </w:rPr>
      <w:t>World Investment Report 2010</w:t>
    </w:r>
    <w:r w:rsidRPr="00B44EF5">
      <w:rPr>
        <w:sz w:val="18"/>
        <w:szCs w:val="18"/>
      </w:rPr>
      <w:t xml:space="preserve"> on 22 July 2010, and which are available at UNCTAD’s FDI/TNC database (</w:t>
    </w:r>
    <w:hyperlink r:id="rId1" w:history="1">
      <w:r w:rsidRPr="0041613C">
        <w:rPr>
          <w:rStyle w:val="Hyperlink"/>
          <w:sz w:val="18"/>
          <w:szCs w:val="18"/>
        </w:rPr>
        <w:t>http://www.unctad.org/fdistatistics</w:t>
      </w:r>
    </w:hyperlink>
    <w:r w:rsidRPr="00B44EF5">
      <w:rPr>
        <w:sz w:val="18"/>
        <w:szCs w:val="18"/>
      </w:rPr>
      <w:t>).</w:t>
    </w:r>
    <w:r>
      <w:rPr>
        <w:sz w:val="18"/>
        <w:szCs w:val="18"/>
      </w:rPr>
      <w:t xml:space="preserve"> All currency values are in U.S. dollars. In the analysis, the APEC-industrialized economies are Australia; Canada; Japan; New Zealand; and the United States.  The APEC-developing economies are Brunei Darussalam; Chile; China; Hong Kong, China; Indonesia; Korea; Malaysia; Mexico; Papua New Guinea; Peru; Philippines; Russia; Singapore; Chinese Taipei; Thailand; and Viet Nam.</w:t>
    </w:r>
  </w:p>
  <w:p w:rsidR="00F05FB5" w:rsidRDefault="00F05FB5" w:rsidP="00925387">
    <w:pPr>
      <w:pStyle w:val="Footer"/>
      <w:ind w:left="360" w:right="-7"/>
      <w:jc w:val="both"/>
      <w:rPr>
        <w:sz w:val="18"/>
        <w:szCs w:val="18"/>
      </w:rPr>
    </w:pPr>
  </w:p>
  <w:p w:rsidR="00F05FB5" w:rsidRPr="00B44EF5" w:rsidRDefault="00B824D3" w:rsidP="00925387">
    <w:pPr>
      <w:pStyle w:val="Footer"/>
      <w:ind w:left="360" w:right="-7"/>
      <w:jc w:val="both"/>
      <w:rPr>
        <w:sz w:val="18"/>
        <w:szCs w:val="18"/>
      </w:rPr>
    </w:pPr>
    <w:r>
      <w:rPr>
        <w:noProof/>
        <w:sz w:val="18"/>
        <w:szCs w:val="18"/>
        <w:lang w:eastAsia="zh-CN"/>
      </w:rPr>
      <w:drawing>
        <wp:anchor distT="0" distB="0" distL="114300" distR="114300" simplePos="0" relativeHeight="251662336" behindDoc="0" locked="0" layoutInCell="1" allowOverlap="1">
          <wp:simplePos x="0" y="0"/>
          <wp:positionH relativeFrom="column">
            <wp:posOffset>1148080</wp:posOffset>
          </wp:positionH>
          <wp:positionV relativeFrom="paragraph">
            <wp:posOffset>33655</wp:posOffset>
          </wp:positionV>
          <wp:extent cx="4562475" cy="207645"/>
          <wp:effectExtent l="19050" t="0" r="9525" b="0"/>
          <wp:wrapThrough wrapText="bothSides">
            <wp:wrapPolygon edited="0">
              <wp:start x="180" y="0"/>
              <wp:lineTo x="-90" y="15853"/>
              <wp:lineTo x="180" y="19817"/>
              <wp:lineTo x="4329" y="19817"/>
              <wp:lineTo x="21465" y="19817"/>
              <wp:lineTo x="21645" y="3963"/>
              <wp:lineTo x="21104" y="0"/>
              <wp:lineTo x="180" y="0"/>
            </wp:wrapPolygon>
          </wp:wrapThrough>
          <wp:docPr id="4" name="Picture 4" descr="C:\Documents and Settings\tlh\Local Settings\Temporary Internet Files\Content.Word\APEC_tagline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lh\Local Settings\Temporary Internet Files\Content.Word\APEC_tagline_1line.gif"/>
                  <pic:cNvPicPr>
                    <a:picLocks noChangeAspect="1" noChangeArrowheads="1"/>
                  </pic:cNvPicPr>
                </pic:nvPicPr>
                <pic:blipFill>
                  <a:blip r:embed="rId2"/>
                  <a:srcRect/>
                  <a:stretch>
                    <a:fillRect/>
                  </a:stretch>
                </pic:blipFill>
                <pic:spPr bwMode="auto">
                  <a:xfrm>
                    <a:off x="0" y="0"/>
                    <a:ext cx="4562475" cy="20764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C4F" w:rsidRDefault="00467C4F" w:rsidP="00623AAC">
      <w:r>
        <w:separator/>
      </w:r>
    </w:p>
  </w:footnote>
  <w:footnote w:type="continuationSeparator" w:id="0">
    <w:p w:rsidR="00467C4F" w:rsidRDefault="00467C4F" w:rsidP="00623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5" w:rsidRDefault="000535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7797" o:spid="_x0000_s2056" type="#_x0000_t75" style="position:absolute;margin-left:0;margin-top:0;width:432.55pt;height:324.65pt;z-index:-251657216;mso-position-horizontal:center;mso-position-horizontal-relative:margin;mso-position-vertical:center;mso-position-vertical-relative:margin" o:allowincell="f">
          <v:imagedata r:id="rId1" o:title="Map_nonames_50%grey_201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5" w:rsidRPr="002C2291" w:rsidRDefault="00053529" w:rsidP="00974BED">
    <w:pPr>
      <w:pStyle w:val="Header"/>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7798" o:spid="_x0000_s2057" type="#_x0000_t75" style="position:absolute;left:0;text-align:left;margin-left:0;margin-top:0;width:432.55pt;height:324.65pt;z-index:-251656192;mso-position-horizontal:center;mso-position-horizontal-relative:margin;mso-position-vertical:center;mso-position-vertical-relative:margin" o:allowincell="f">
          <v:imagedata r:id="rId1" o:title="Map_nonames_50%grey_201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FB5" w:rsidRPr="00A71B1C" w:rsidRDefault="005E5587" w:rsidP="00EF5077">
    <w:pPr>
      <w:pStyle w:val="Header"/>
      <w:jc w:val="center"/>
      <w:rPr>
        <w:sz w:val="28"/>
        <w:szCs w:val="28"/>
      </w:rPr>
    </w:pPr>
    <w:r>
      <w:rPr>
        <w:noProof/>
        <w:lang w:eastAsia="zh-CN"/>
      </w:rPr>
      <w:drawing>
        <wp:anchor distT="0" distB="0" distL="114300" distR="114300" simplePos="0" relativeHeight="251661312" behindDoc="0" locked="0" layoutInCell="1" allowOverlap="1">
          <wp:simplePos x="0" y="0"/>
          <wp:positionH relativeFrom="column">
            <wp:posOffset>357505</wp:posOffset>
          </wp:positionH>
          <wp:positionV relativeFrom="paragraph">
            <wp:posOffset>-228600</wp:posOffset>
          </wp:positionV>
          <wp:extent cx="1066800" cy="628650"/>
          <wp:effectExtent l="19050" t="0" r="0" b="0"/>
          <wp:wrapNone/>
          <wp:docPr id="2" name="Picture 7" descr="C:\Documents and Settings\tlh\Local Settings\Temporary Internet Files\Content.Word\APEC-Logo_gif_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tlh\Local Settings\Temporary Internet Files\Content.Word\APEC-Logo_gif_vertical.gif"/>
                  <pic:cNvPicPr>
                    <a:picLocks noChangeAspect="1" noChangeArrowheads="1"/>
                  </pic:cNvPicPr>
                </pic:nvPicPr>
                <pic:blipFill>
                  <a:blip r:embed="rId1"/>
                  <a:srcRect/>
                  <a:stretch>
                    <a:fillRect/>
                  </a:stretch>
                </pic:blipFill>
                <pic:spPr bwMode="auto">
                  <a:xfrm>
                    <a:off x="0" y="0"/>
                    <a:ext cx="1066800" cy="628650"/>
                  </a:xfrm>
                  <a:prstGeom prst="rect">
                    <a:avLst/>
                  </a:prstGeom>
                  <a:noFill/>
                  <a:ln w="9525">
                    <a:noFill/>
                    <a:miter lim="800000"/>
                    <a:headEnd/>
                    <a:tailEnd/>
                  </a:ln>
                </pic:spPr>
              </pic:pic>
            </a:graphicData>
          </a:graphic>
        </wp:anchor>
      </w:drawing>
    </w:r>
    <w:r w:rsidR="00F05FB5" w:rsidRPr="00A71B1C">
      <w:rPr>
        <w:b/>
        <w:sz w:val="28"/>
        <w:szCs w:val="28"/>
      </w:rPr>
      <w:t>Recent Trends in FDI – APEC Region</w:t>
    </w:r>
    <w:r w:rsidR="0005352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7796" o:spid="_x0000_s2055" type="#_x0000_t75" style="position:absolute;left:0;text-align:left;margin-left:0;margin-top:0;width:432.55pt;height:324.65pt;z-index:-251658240;mso-position-horizontal:center;mso-position-horizontal-relative:margin;mso-position-vertical:center;mso-position-vertical-relative:margin" o:allowincell="f">
          <v:imagedata r:id="rId2" o:title="Map_nonames_50%grey_201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2A62"/>
    <w:multiLevelType w:val="hybridMultilevel"/>
    <w:tmpl w:val="3C4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23AAC"/>
    <w:rsid w:val="000076E3"/>
    <w:rsid w:val="000115E1"/>
    <w:rsid w:val="00036E34"/>
    <w:rsid w:val="00044F55"/>
    <w:rsid w:val="00053529"/>
    <w:rsid w:val="000915F4"/>
    <w:rsid w:val="000930B5"/>
    <w:rsid w:val="000978AC"/>
    <w:rsid w:val="000A18D7"/>
    <w:rsid w:val="000D3E5D"/>
    <w:rsid w:val="000D7D3A"/>
    <w:rsid w:val="000F3092"/>
    <w:rsid w:val="001013D0"/>
    <w:rsid w:val="00103788"/>
    <w:rsid w:val="00114E97"/>
    <w:rsid w:val="001A721D"/>
    <w:rsid w:val="001F14D3"/>
    <w:rsid w:val="001F7D81"/>
    <w:rsid w:val="0020125B"/>
    <w:rsid w:val="0025743A"/>
    <w:rsid w:val="00282D95"/>
    <w:rsid w:val="002B7A72"/>
    <w:rsid w:val="002C2291"/>
    <w:rsid w:val="002D0104"/>
    <w:rsid w:val="002E24BA"/>
    <w:rsid w:val="00302392"/>
    <w:rsid w:val="003121A7"/>
    <w:rsid w:val="0032024B"/>
    <w:rsid w:val="00321B93"/>
    <w:rsid w:val="00326967"/>
    <w:rsid w:val="003377B2"/>
    <w:rsid w:val="003B032E"/>
    <w:rsid w:val="003B3A17"/>
    <w:rsid w:val="003C3410"/>
    <w:rsid w:val="00404675"/>
    <w:rsid w:val="00405866"/>
    <w:rsid w:val="00425603"/>
    <w:rsid w:val="004327E8"/>
    <w:rsid w:val="00442B24"/>
    <w:rsid w:val="004433C9"/>
    <w:rsid w:val="004659F7"/>
    <w:rsid w:val="00465D75"/>
    <w:rsid w:val="004664C9"/>
    <w:rsid w:val="00467C4F"/>
    <w:rsid w:val="00471E84"/>
    <w:rsid w:val="004728BD"/>
    <w:rsid w:val="004A094F"/>
    <w:rsid w:val="004D3225"/>
    <w:rsid w:val="004E7E80"/>
    <w:rsid w:val="0050336A"/>
    <w:rsid w:val="00530FC5"/>
    <w:rsid w:val="005435B4"/>
    <w:rsid w:val="00543C80"/>
    <w:rsid w:val="00577C13"/>
    <w:rsid w:val="00577FB7"/>
    <w:rsid w:val="00583D3D"/>
    <w:rsid w:val="005A1931"/>
    <w:rsid w:val="005B37A1"/>
    <w:rsid w:val="005C7574"/>
    <w:rsid w:val="005E2615"/>
    <w:rsid w:val="005E5587"/>
    <w:rsid w:val="006064DE"/>
    <w:rsid w:val="00623AAC"/>
    <w:rsid w:val="006558CF"/>
    <w:rsid w:val="006570FD"/>
    <w:rsid w:val="00672E11"/>
    <w:rsid w:val="00685D66"/>
    <w:rsid w:val="006C65EF"/>
    <w:rsid w:val="006E13E7"/>
    <w:rsid w:val="006E2F2A"/>
    <w:rsid w:val="006E7D09"/>
    <w:rsid w:val="00717E33"/>
    <w:rsid w:val="007366DA"/>
    <w:rsid w:val="007500EF"/>
    <w:rsid w:val="00753EB1"/>
    <w:rsid w:val="007651CE"/>
    <w:rsid w:val="007931CC"/>
    <w:rsid w:val="007A2ACA"/>
    <w:rsid w:val="007A758B"/>
    <w:rsid w:val="007D203C"/>
    <w:rsid w:val="007E7818"/>
    <w:rsid w:val="0080488B"/>
    <w:rsid w:val="008105CE"/>
    <w:rsid w:val="00843C74"/>
    <w:rsid w:val="00847C1E"/>
    <w:rsid w:val="00863052"/>
    <w:rsid w:val="0088763F"/>
    <w:rsid w:val="008A27E4"/>
    <w:rsid w:val="008E75E4"/>
    <w:rsid w:val="008E794B"/>
    <w:rsid w:val="00901B36"/>
    <w:rsid w:val="00925387"/>
    <w:rsid w:val="0095456A"/>
    <w:rsid w:val="0096207E"/>
    <w:rsid w:val="00974BED"/>
    <w:rsid w:val="00985D33"/>
    <w:rsid w:val="009C23CD"/>
    <w:rsid w:val="009D376B"/>
    <w:rsid w:val="009D6043"/>
    <w:rsid w:val="00A6475B"/>
    <w:rsid w:val="00A71B1C"/>
    <w:rsid w:val="00A721A0"/>
    <w:rsid w:val="00A72B3A"/>
    <w:rsid w:val="00A74F1A"/>
    <w:rsid w:val="00A8431E"/>
    <w:rsid w:val="00AA5254"/>
    <w:rsid w:val="00AE114B"/>
    <w:rsid w:val="00B15064"/>
    <w:rsid w:val="00B150E9"/>
    <w:rsid w:val="00B2110F"/>
    <w:rsid w:val="00B3559B"/>
    <w:rsid w:val="00B35B9A"/>
    <w:rsid w:val="00B44EF5"/>
    <w:rsid w:val="00B824D3"/>
    <w:rsid w:val="00BC7E7A"/>
    <w:rsid w:val="00C03AAE"/>
    <w:rsid w:val="00C66708"/>
    <w:rsid w:val="00CA2058"/>
    <w:rsid w:val="00CA77F0"/>
    <w:rsid w:val="00CB6107"/>
    <w:rsid w:val="00CC5F40"/>
    <w:rsid w:val="00CF47DA"/>
    <w:rsid w:val="00D00A66"/>
    <w:rsid w:val="00D1058D"/>
    <w:rsid w:val="00D74FA4"/>
    <w:rsid w:val="00DC4726"/>
    <w:rsid w:val="00DC6D53"/>
    <w:rsid w:val="00DF4DBB"/>
    <w:rsid w:val="00E26DAE"/>
    <w:rsid w:val="00E65508"/>
    <w:rsid w:val="00E66C29"/>
    <w:rsid w:val="00E7226E"/>
    <w:rsid w:val="00E76ECB"/>
    <w:rsid w:val="00EA6D63"/>
    <w:rsid w:val="00ED2FFF"/>
    <w:rsid w:val="00ED7690"/>
    <w:rsid w:val="00EE2474"/>
    <w:rsid w:val="00EF5077"/>
    <w:rsid w:val="00F05FB5"/>
    <w:rsid w:val="00F20D90"/>
    <w:rsid w:val="00F424E6"/>
    <w:rsid w:val="00F53006"/>
    <w:rsid w:val="00F63BF8"/>
    <w:rsid w:val="00F67F7D"/>
    <w:rsid w:val="00FB77FB"/>
    <w:rsid w:val="00FD5172"/>
    <w:rsid w:val="00FD5BD6"/>
    <w:rsid w:val="00FF2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SG"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F1A"/>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AAC"/>
    <w:pPr>
      <w:tabs>
        <w:tab w:val="center" w:pos="4680"/>
        <w:tab w:val="right" w:pos="9360"/>
      </w:tabs>
    </w:pPr>
  </w:style>
  <w:style w:type="character" w:customStyle="1" w:styleId="HeaderChar">
    <w:name w:val="Header Char"/>
    <w:basedOn w:val="DefaultParagraphFont"/>
    <w:link w:val="Header"/>
    <w:rsid w:val="00623AAC"/>
    <w:rPr>
      <w:sz w:val="24"/>
      <w:lang w:val="en-US"/>
    </w:rPr>
  </w:style>
  <w:style w:type="paragraph" w:styleId="Footer">
    <w:name w:val="footer"/>
    <w:basedOn w:val="Normal"/>
    <w:link w:val="FooterChar"/>
    <w:rsid w:val="00623AAC"/>
    <w:pPr>
      <w:tabs>
        <w:tab w:val="center" w:pos="4680"/>
        <w:tab w:val="right" w:pos="9360"/>
      </w:tabs>
    </w:pPr>
  </w:style>
  <w:style w:type="character" w:customStyle="1" w:styleId="FooterChar">
    <w:name w:val="Footer Char"/>
    <w:basedOn w:val="DefaultParagraphFont"/>
    <w:link w:val="Footer"/>
    <w:rsid w:val="00623AAC"/>
    <w:rPr>
      <w:sz w:val="24"/>
      <w:lang w:val="en-US"/>
    </w:rPr>
  </w:style>
  <w:style w:type="paragraph" w:styleId="FootnoteText">
    <w:name w:val="footnote text"/>
    <w:basedOn w:val="Normal"/>
    <w:link w:val="FootnoteTextChar"/>
    <w:uiPriority w:val="99"/>
    <w:unhideWhenUsed/>
    <w:rsid w:val="003B3A17"/>
    <w:rPr>
      <w:rFonts w:ascii="Calibri" w:eastAsia="Calibri" w:hAnsi="Calibri"/>
      <w:sz w:val="20"/>
    </w:rPr>
  </w:style>
  <w:style w:type="character" w:customStyle="1" w:styleId="FootnoteTextChar">
    <w:name w:val="Footnote Text Char"/>
    <w:basedOn w:val="DefaultParagraphFont"/>
    <w:link w:val="FootnoteText"/>
    <w:uiPriority w:val="99"/>
    <w:rsid w:val="003B3A17"/>
    <w:rPr>
      <w:rFonts w:ascii="Calibri" w:eastAsia="Calibri" w:hAnsi="Calibri"/>
      <w:lang w:val="en-US"/>
    </w:rPr>
  </w:style>
  <w:style w:type="character" w:styleId="FootnoteReference">
    <w:name w:val="footnote reference"/>
    <w:basedOn w:val="DefaultParagraphFont"/>
    <w:uiPriority w:val="99"/>
    <w:unhideWhenUsed/>
    <w:rsid w:val="003B3A17"/>
    <w:rPr>
      <w:vertAlign w:val="superscript"/>
    </w:rPr>
  </w:style>
  <w:style w:type="paragraph" w:styleId="BalloonText">
    <w:name w:val="Balloon Text"/>
    <w:basedOn w:val="Normal"/>
    <w:link w:val="BalloonTextChar"/>
    <w:rsid w:val="00974BED"/>
    <w:rPr>
      <w:rFonts w:ascii="Tahoma" w:hAnsi="Tahoma" w:cs="Tahoma"/>
      <w:sz w:val="16"/>
      <w:szCs w:val="16"/>
    </w:rPr>
  </w:style>
  <w:style w:type="character" w:customStyle="1" w:styleId="BalloonTextChar">
    <w:name w:val="Balloon Text Char"/>
    <w:basedOn w:val="DefaultParagraphFont"/>
    <w:link w:val="BalloonText"/>
    <w:rsid w:val="00974BED"/>
    <w:rPr>
      <w:rFonts w:ascii="Tahoma" w:hAnsi="Tahoma" w:cs="Tahoma"/>
      <w:sz w:val="16"/>
      <w:szCs w:val="16"/>
      <w:lang w:val="en-US"/>
    </w:rPr>
  </w:style>
  <w:style w:type="paragraph" w:customStyle="1" w:styleId="Pa281">
    <w:name w:val="Pa28+1"/>
    <w:basedOn w:val="Normal"/>
    <w:next w:val="Normal"/>
    <w:uiPriority w:val="99"/>
    <w:rsid w:val="00ED7690"/>
    <w:pPr>
      <w:autoSpaceDE w:val="0"/>
      <w:autoSpaceDN w:val="0"/>
      <w:adjustRightInd w:val="0"/>
      <w:spacing w:line="221" w:lineRule="atLeast"/>
    </w:pPr>
    <w:rPr>
      <w:rFonts w:ascii="Arial" w:hAnsi="Arial" w:cs="Arial"/>
      <w:szCs w:val="24"/>
    </w:rPr>
  </w:style>
  <w:style w:type="character" w:customStyle="1" w:styleId="A11">
    <w:name w:val="A11"/>
    <w:uiPriority w:val="99"/>
    <w:rsid w:val="00ED7690"/>
    <w:rPr>
      <w:color w:val="000000"/>
      <w:sz w:val="12"/>
      <w:szCs w:val="12"/>
    </w:rPr>
  </w:style>
  <w:style w:type="paragraph" w:customStyle="1" w:styleId="Pa29">
    <w:name w:val="Pa29"/>
    <w:basedOn w:val="Normal"/>
    <w:next w:val="Normal"/>
    <w:uiPriority w:val="99"/>
    <w:rsid w:val="00FB77FB"/>
    <w:pPr>
      <w:autoSpaceDE w:val="0"/>
      <w:autoSpaceDN w:val="0"/>
      <w:adjustRightInd w:val="0"/>
      <w:spacing w:line="141" w:lineRule="atLeast"/>
    </w:pPr>
    <w:rPr>
      <w:rFonts w:ascii="Arial" w:hAnsi="Arial" w:cs="Arial"/>
      <w:szCs w:val="24"/>
    </w:rPr>
  </w:style>
  <w:style w:type="character" w:styleId="Hyperlink">
    <w:name w:val="Hyperlink"/>
    <w:basedOn w:val="DefaultParagraphFont"/>
    <w:rsid w:val="00B44EF5"/>
    <w:rPr>
      <w:color w:val="0000FF" w:themeColor="hyperlink"/>
      <w:u w:val="single"/>
    </w:rPr>
  </w:style>
  <w:style w:type="paragraph" w:styleId="ListParagraph">
    <w:name w:val="List Paragraph"/>
    <w:basedOn w:val="Normal"/>
    <w:uiPriority w:val="34"/>
    <w:qFormat/>
    <w:rsid w:val="005B37A1"/>
    <w:pPr>
      <w:ind w:left="720"/>
      <w:contextualSpacing/>
    </w:pPr>
  </w:style>
</w:styles>
</file>

<file path=word/webSettings.xml><?xml version="1.0" encoding="utf-8"?>
<w:webSettings xmlns:r="http://schemas.openxmlformats.org/officeDocument/2006/relationships" xmlns:w="http://schemas.openxmlformats.org/wordprocessingml/2006/main">
  <w:divs>
    <w:div w:id="22900718">
      <w:bodyDiv w:val="1"/>
      <w:marLeft w:val="0"/>
      <w:marRight w:val="0"/>
      <w:marTop w:val="0"/>
      <w:marBottom w:val="0"/>
      <w:divBdr>
        <w:top w:val="none" w:sz="0" w:space="0" w:color="auto"/>
        <w:left w:val="none" w:sz="0" w:space="0" w:color="auto"/>
        <w:bottom w:val="none" w:sz="0" w:space="0" w:color="auto"/>
        <w:right w:val="none" w:sz="0" w:space="0" w:color="auto"/>
      </w:divBdr>
    </w:div>
    <w:div w:id="791099883">
      <w:bodyDiv w:val="1"/>
      <w:marLeft w:val="0"/>
      <w:marRight w:val="0"/>
      <w:marTop w:val="0"/>
      <w:marBottom w:val="0"/>
      <w:divBdr>
        <w:top w:val="none" w:sz="0" w:space="0" w:color="auto"/>
        <w:left w:val="none" w:sz="0" w:space="0" w:color="auto"/>
        <w:bottom w:val="none" w:sz="0" w:space="0" w:color="auto"/>
        <w:right w:val="none" w:sz="0" w:space="0" w:color="auto"/>
      </w:divBdr>
    </w:div>
    <w:div w:id="1001547828">
      <w:bodyDiv w:val="1"/>
      <w:marLeft w:val="0"/>
      <w:marRight w:val="0"/>
      <w:marTop w:val="0"/>
      <w:marBottom w:val="0"/>
      <w:divBdr>
        <w:top w:val="none" w:sz="0" w:space="0" w:color="auto"/>
        <w:left w:val="none" w:sz="0" w:space="0" w:color="auto"/>
        <w:bottom w:val="none" w:sz="0" w:space="0" w:color="auto"/>
        <w:right w:val="none" w:sz="0" w:space="0" w:color="auto"/>
      </w:divBdr>
    </w:div>
    <w:div w:id="1237587326">
      <w:bodyDiv w:val="1"/>
      <w:marLeft w:val="0"/>
      <w:marRight w:val="0"/>
      <w:marTop w:val="0"/>
      <w:marBottom w:val="0"/>
      <w:divBdr>
        <w:top w:val="none" w:sz="0" w:space="0" w:color="auto"/>
        <w:left w:val="none" w:sz="0" w:space="0" w:color="auto"/>
        <w:bottom w:val="none" w:sz="0" w:space="0" w:color="auto"/>
        <w:right w:val="none" w:sz="0" w:space="0" w:color="auto"/>
      </w:divBdr>
    </w:div>
    <w:div w:id="1392852946">
      <w:bodyDiv w:val="1"/>
      <w:marLeft w:val="0"/>
      <w:marRight w:val="0"/>
      <w:marTop w:val="0"/>
      <w:marBottom w:val="0"/>
      <w:divBdr>
        <w:top w:val="none" w:sz="0" w:space="0" w:color="auto"/>
        <w:left w:val="none" w:sz="0" w:space="0" w:color="auto"/>
        <w:bottom w:val="none" w:sz="0" w:space="0" w:color="auto"/>
        <w:right w:val="none" w:sz="0" w:space="0" w:color="auto"/>
      </w:divBdr>
    </w:div>
    <w:div w:id="1614088738">
      <w:bodyDiv w:val="1"/>
      <w:marLeft w:val="0"/>
      <w:marRight w:val="0"/>
      <w:marTop w:val="0"/>
      <w:marBottom w:val="0"/>
      <w:divBdr>
        <w:top w:val="none" w:sz="0" w:space="0" w:color="auto"/>
        <w:left w:val="none" w:sz="0" w:space="0" w:color="auto"/>
        <w:bottom w:val="none" w:sz="0" w:space="0" w:color="auto"/>
        <w:right w:val="none" w:sz="0" w:space="0" w:color="auto"/>
      </w:divBdr>
    </w:div>
    <w:div w:id="1622301733">
      <w:bodyDiv w:val="1"/>
      <w:marLeft w:val="0"/>
      <w:marRight w:val="0"/>
      <w:marTop w:val="0"/>
      <w:marBottom w:val="0"/>
      <w:divBdr>
        <w:top w:val="none" w:sz="0" w:space="0" w:color="auto"/>
        <w:left w:val="none" w:sz="0" w:space="0" w:color="auto"/>
        <w:bottom w:val="none" w:sz="0" w:space="0" w:color="auto"/>
        <w:right w:val="none" w:sz="0" w:space="0" w:color="auto"/>
      </w:divBdr>
    </w:div>
    <w:div w:id="1735732915">
      <w:bodyDiv w:val="1"/>
      <w:marLeft w:val="0"/>
      <w:marRight w:val="0"/>
      <w:marTop w:val="0"/>
      <w:marBottom w:val="0"/>
      <w:divBdr>
        <w:top w:val="none" w:sz="0" w:space="0" w:color="auto"/>
        <w:left w:val="none" w:sz="0" w:space="0" w:color="auto"/>
        <w:bottom w:val="none" w:sz="0" w:space="0" w:color="auto"/>
        <w:right w:val="none" w:sz="0" w:space="0" w:color="auto"/>
      </w:divBdr>
    </w:div>
    <w:div w:id="1980498913">
      <w:bodyDiv w:val="1"/>
      <w:marLeft w:val="0"/>
      <w:marRight w:val="0"/>
      <w:marTop w:val="0"/>
      <w:marBottom w:val="0"/>
      <w:divBdr>
        <w:top w:val="none" w:sz="0" w:space="0" w:color="auto"/>
        <w:left w:val="none" w:sz="0" w:space="0" w:color="auto"/>
        <w:bottom w:val="none" w:sz="0" w:space="0" w:color="auto"/>
        <w:right w:val="none" w:sz="0" w:space="0" w:color="auto"/>
      </w:divBdr>
    </w:div>
    <w:div w:id="20776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www.unctad.org/fdi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oleObject" Target="file:///\\arda\Data\Sec%20Operational%20Units\Policy%20Support%20Unit\Projects%20Current\World%20Investment%20Report\FDI_APEC%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rda\Data\Sec%20Operational%20Units\Policy%20Support%20Unit\Projects%20Current\World%20Investment%20Report\FDI_APEC%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rda\Data\Sec%20Operational%20Units\Policy%20Support%20Unit\Projects%20Current\World%20Investment%20Report\FDI_APEC%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rda\Data\Sec%20Operational%20Units\Policy%20Support%20Unit\Projects%20Current\World%20Investment%20Report\FDI_APE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973378672969798"/>
          <c:y val="5.0523411536015722E-2"/>
          <c:w val="0.75807491432355889"/>
          <c:h val="0.80166832388272258"/>
        </c:manualLayout>
      </c:layout>
      <c:barChart>
        <c:barDir val="col"/>
        <c:grouping val="stacked"/>
        <c:ser>
          <c:idx val="0"/>
          <c:order val="0"/>
          <c:tx>
            <c:strRef>
              <c:f>Inflows!$B$10</c:f>
              <c:strCache>
                <c:ptCount val="1"/>
                <c:pt idx="0">
                  <c:v>APEC-industrialized</c:v>
                </c:pt>
              </c:strCache>
            </c:strRef>
          </c:tx>
          <c:val>
            <c:numRef>
              <c:f>Inflows!$M$10:$V$10</c:f>
              <c:numCache>
                <c:formatCode>#,##0</c:formatCode>
                <c:ptCount val="10"/>
                <c:pt idx="0">
                  <c:v>406083.33370509971</c:v>
                </c:pt>
                <c:pt idx="1">
                  <c:v>204106.74107203374</c:v>
                </c:pt>
                <c:pt idx="2">
                  <c:v>122373.29310175964</c:v>
                </c:pt>
                <c:pt idx="3">
                  <c:v>78730.075769719406</c:v>
                </c:pt>
                <c:pt idx="4">
                  <c:v>188080.39382851051</c:v>
                </c:pt>
                <c:pt idx="5">
                  <c:v>110518.63567730639</c:v>
                </c:pt>
                <c:pt idx="6">
                  <c:v>326121.05310406495</c:v>
                </c:pt>
                <c:pt idx="7">
                  <c:v>445838.79959220777</c:v>
                </c:pt>
                <c:pt idx="8">
                  <c:v>455970.45279122173</c:v>
                </c:pt>
                <c:pt idx="9">
                  <c:v>183398.43109696332</c:v>
                </c:pt>
              </c:numCache>
            </c:numRef>
          </c:val>
        </c:ser>
        <c:ser>
          <c:idx val="1"/>
          <c:order val="1"/>
          <c:tx>
            <c:strRef>
              <c:f>Inflows!$B$17</c:f>
              <c:strCache>
                <c:ptCount val="1"/>
                <c:pt idx="0">
                  <c:v>APEC-developing</c:v>
                </c:pt>
              </c:strCache>
            </c:strRef>
          </c:tx>
          <c:spPr>
            <a:solidFill>
              <a:schemeClr val="tx2"/>
            </a:solidFill>
          </c:spPr>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Inflows!$M$17:$V$17</c:f>
              <c:numCache>
                <c:formatCode>#,##0</c:formatCode>
                <c:ptCount val="10"/>
                <c:pt idx="0">
                  <c:v>166430.25020680399</c:v>
                </c:pt>
                <c:pt idx="1">
                  <c:v>136588.17570738611</c:v>
                </c:pt>
                <c:pt idx="2">
                  <c:v>116060.16662533529</c:v>
                </c:pt>
                <c:pt idx="3">
                  <c:v>126720.75291665325</c:v>
                </c:pt>
                <c:pt idx="4">
                  <c:v>189650.68684547371</c:v>
                </c:pt>
                <c:pt idx="5">
                  <c:v>199633.65711761973</c:v>
                </c:pt>
                <c:pt idx="6">
                  <c:v>245787.12975810948</c:v>
                </c:pt>
                <c:pt idx="7">
                  <c:v>321407.49083395011</c:v>
                </c:pt>
                <c:pt idx="8">
                  <c:v>348916.9817703492</c:v>
                </c:pt>
                <c:pt idx="9">
                  <c:v>256973.26164766354</c:v>
                </c:pt>
              </c:numCache>
            </c:numRef>
          </c:val>
        </c:ser>
        <c:ser>
          <c:idx val="2"/>
          <c:order val="2"/>
          <c:tx>
            <c:strRef>
              <c:f>Inflows!$B$35</c:f>
              <c:strCache>
                <c:ptCount val="1"/>
                <c:pt idx="0">
                  <c:v>Rest of world</c:v>
                </c:pt>
              </c:strCache>
            </c:strRef>
          </c:tx>
          <c:spPr>
            <a:solidFill>
              <a:schemeClr val="bg1">
                <a:lumMod val="75000"/>
              </a:schemeClr>
            </a:solidFill>
          </c:spPr>
          <c:val>
            <c:numRef>
              <c:f>Inflows!$M$35:$V$35</c:f>
              <c:numCache>
                <c:formatCode>#,##0</c:formatCode>
                <c:ptCount val="10"/>
                <c:pt idx="0">
                  <c:v>828952.82485749735</c:v>
                </c:pt>
                <c:pt idx="1">
                  <c:v>484585.42310913792</c:v>
                </c:pt>
                <c:pt idx="2">
                  <c:v>389680.65532774158</c:v>
                </c:pt>
                <c:pt idx="3">
                  <c:v>360288.1857315643</c:v>
                </c:pt>
                <c:pt idx="4">
                  <c:v>354665.53214706801</c:v>
                </c:pt>
                <c:pt idx="5">
                  <c:v>675643.34888572013</c:v>
                </c:pt>
                <c:pt idx="6">
                  <c:v>887225.10060306033</c:v>
                </c:pt>
                <c:pt idx="7">
                  <c:v>1332726.6198257401</c:v>
                </c:pt>
                <c:pt idx="8">
                  <c:v>965985.40584112355</c:v>
                </c:pt>
                <c:pt idx="9">
                  <c:v>673817.62759653153</c:v>
                </c:pt>
              </c:numCache>
            </c:numRef>
          </c:val>
        </c:ser>
        <c:overlap val="100"/>
        <c:axId val="106981248"/>
        <c:axId val="106982784"/>
      </c:barChart>
      <c:lineChart>
        <c:grouping val="standard"/>
        <c:ser>
          <c:idx val="4"/>
          <c:order val="3"/>
          <c:tx>
            <c:strRef>
              <c:f>Inflows!$B$38</c:f>
              <c:strCache>
                <c:ptCount val="1"/>
                <c:pt idx="0">
                  <c:v>APEC % of GFCF</c:v>
                </c:pt>
              </c:strCache>
            </c:strRef>
          </c:tx>
          <c:spPr>
            <a:ln>
              <a:solidFill>
                <a:srgbClr val="92D050"/>
              </a:solidFill>
            </a:ln>
          </c:spPr>
          <c:marker>
            <c:symbol val="none"/>
          </c:marker>
          <c:val>
            <c:numRef>
              <c:f>Inflows!$M$38:$T$38</c:f>
              <c:numCache>
                <c:formatCode>0.0</c:formatCode>
                <c:ptCount val="8"/>
                <c:pt idx="0">
                  <c:v>13.000349212500025</c:v>
                </c:pt>
                <c:pt idx="1">
                  <c:v>8.0047153549000001</c:v>
                </c:pt>
                <c:pt idx="2">
                  <c:v>5.752570043099988</c:v>
                </c:pt>
                <c:pt idx="3">
                  <c:v>4.4703190003000115</c:v>
                </c:pt>
                <c:pt idx="4">
                  <c:v>7.2146596743</c:v>
                </c:pt>
                <c:pt idx="5">
                  <c:v>5.2461172462999803</c:v>
                </c:pt>
                <c:pt idx="6">
                  <c:v>9.1390082121000003</c:v>
                </c:pt>
                <c:pt idx="7">
                  <c:v>11.3585630443</c:v>
                </c:pt>
              </c:numCache>
            </c:numRef>
          </c:val>
        </c:ser>
        <c:ser>
          <c:idx val="3"/>
          <c:order val="4"/>
          <c:tx>
            <c:strRef>
              <c:f>Inflows!$B$39</c:f>
              <c:strCache>
                <c:ptCount val="1"/>
                <c:pt idx="0">
                  <c:v>World % of GFCF</c:v>
                </c:pt>
              </c:strCache>
            </c:strRef>
          </c:tx>
          <c:spPr>
            <a:ln>
              <a:solidFill>
                <a:schemeClr val="tx1"/>
              </a:solidFill>
            </a:ln>
          </c:spPr>
          <c:marker>
            <c:symbol val="none"/>
          </c:marker>
          <c:val>
            <c:numRef>
              <c:f>Inflows!$M$39:$V$39</c:f>
              <c:numCache>
                <c:formatCode>0.0;\-0.0;\-</c:formatCode>
                <c:ptCount val="10"/>
                <c:pt idx="0">
                  <c:v>20.282085226756028</c:v>
                </c:pt>
                <c:pt idx="1">
                  <c:v>12.329741933020326</c:v>
                </c:pt>
                <c:pt idx="2">
                  <c:v>9.3013585314098126</c:v>
                </c:pt>
                <c:pt idx="3">
                  <c:v>7.4065493789507162</c:v>
                </c:pt>
                <c:pt idx="4">
                  <c:v>8.3093979449922006</c:v>
                </c:pt>
                <c:pt idx="5">
                  <c:v>10.019698851926105</c:v>
                </c:pt>
                <c:pt idx="6">
                  <c:v>13.375801640998864</c:v>
                </c:pt>
                <c:pt idx="7">
                  <c:v>16.946554727640308</c:v>
                </c:pt>
                <c:pt idx="8">
                  <c:v>12.608014755657448</c:v>
                </c:pt>
                <c:pt idx="9">
                  <c:v>9.0575237072620158</c:v>
                </c:pt>
              </c:numCache>
            </c:numRef>
          </c:val>
        </c:ser>
        <c:marker val="1"/>
        <c:axId val="106991616"/>
        <c:axId val="106985344"/>
      </c:lineChart>
      <c:catAx>
        <c:axId val="106981248"/>
        <c:scaling>
          <c:orientation val="minMax"/>
        </c:scaling>
        <c:axPos val="b"/>
        <c:tickLblPos val="nextTo"/>
        <c:crossAx val="106982784"/>
        <c:crosses val="autoZero"/>
        <c:auto val="1"/>
        <c:lblAlgn val="ctr"/>
        <c:lblOffset val="100"/>
      </c:catAx>
      <c:valAx>
        <c:axId val="106982784"/>
        <c:scaling>
          <c:orientation val="minMax"/>
        </c:scaling>
        <c:axPos val="l"/>
        <c:majorGridlines/>
        <c:title>
          <c:tx>
            <c:rich>
              <a:bodyPr rot="-5400000" vert="horz"/>
              <a:lstStyle/>
              <a:p>
                <a:pPr>
                  <a:defRPr b="0"/>
                </a:pPr>
                <a:r>
                  <a:rPr lang="en-US" b="0"/>
                  <a:t>billions of USD</a:t>
                </a:r>
              </a:p>
            </c:rich>
          </c:tx>
        </c:title>
        <c:numFmt formatCode="#,##0" sourceLinked="1"/>
        <c:majorTickMark val="none"/>
        <c:tickLblPos val="nextTo"/>
        <c:crossAx val="106981248"/>
        <c:crosses val="autoZero"/>
        <c:crossBetween val="between"/>
        <c:dispUnits>
          <c:builtInUnit val="thousands"/>
        </c:dispUnits>
      </c:valAx>
      <c:valAx>
        <c:axId val="106985344"/>
        <c:scaling>
          <c:orientation val="minMax"/>
        </c:scaling>
        <c:axPos val="r"/>
        <c:title>
          <c:tx>
            <c:rich>
              <a:bodyPr rot="0" vert="horz"/>
              <a:lstStyle/>
              <a:p>
                <a:pPr>
                  <a:defRPr b="0"/>
                </a:pPr>
                <a:r>
                  <a:rPr lang="en-US" b="0"/>
                  <a:t>%</a:t>
                </a:r>
              </a:p>
            </c:rich>
          </c:tx>
        </c:title>
        <c:numFmt formatCode="0" sourceLinked="0"/>
        <c:majorTickMark val="none"/>
        <c:tickLblPos val="nextTo"/>
        <c:crossAx val="106991616"/>
        <c:crosses val="max"/>
        <c:crossBetween val="between"/>
      </c:valAx>
      <c:catAx>
        <c:axId val="106991616"/>
        <c:scaling>
          <c:orientation val="minMax"/>
        </c:scaling>
        <c:delete val="1"/>
        <c:axPos val="b"/>
        <c:tickLblPos val="none"/>
        <c:crossAx val="106985344"/>
        <c:crosses val="autoZero"/>
        <c:auto val="1"/>
        <c:lblAlgn val="ctr"/>
        <c:lblOffset val="100"/>
      </c:catAx>
      <c:spPr>
        <a:noFill/>
        <a:ln>
          <a:solidFill>
            <a:sysClr val="windowText" lastClr="000000"/>
          </a:solidFill>
        </a:ln>
      </c:spPr>
    </c:plotArea>
    <c:legend>
      <c:legendPos val="r"/>
      <c:layout>
        <c:manualLayout>
          <c:xMode val="edge"/>
          <c:yMode val="edge"/>
          <c:x val="0.25090338066716017"/>
          <c:y val="7.6950497466886522E-2"/>
          <c:w val="0.35747983159563718"/>
          <c:h val="0.25814797112022336"/>
        </c:manualLayout>
      </c:layout>
      <c:spPr>
        <a:solidFill>
          <a:sysClr val="window" lastClr="FFFFFF"/>
        </a:solidFill>
        <a:ln>
          <a:solidFill>
            <a:schemeClr val="bg1"/>
          </a:solidFill>
        </a:ln>
      </c:spPr>
    </c:legend>
    <c:plotVisOnly val="1"/>
    <c:dispBlanksAs val="gap"/>
  </c:chart>
  <c:spPr>
    <a:noFill/>
  </c:spPr>
  <c:txPr>
    <a:bodyPr/>
    <a:lstStyle/>
    <a:p>
      <a:pPr>
        <a:defRPr sz="8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5359505769326076"/>
          <c:y val="5.0523411536015632E-2"/>
          <c:w val="0.82027732382508789"/>
          <c:h val="0.80166832388272258"/>
        </c:manualLayout>
      </c:layout>
      <c:barChart>
        <c:barDir val="col"/>
        <c:grouping val="stacked"/>
        <c:ser>
          <c:idx val="0"/>
          <c:order val="0"/>
          <c:tx>
            <c:strRef>
              <c:f>Outflows!$B$10</c:f>
              <c:strCache>
                <c:ptCount val="1"/>
                <c:pt idx="0">
                  <c:v>APEC-industrialized</c:v>
                </c:pt>
              </c:strCache>
            </c:strRef>
          </c:tx>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Outflows!$M$10:$V$10</c:f>
              <c:numCache>
                <c:formatCode>#,##0</c:formatCode>
                <c:ptCount val="10"/>
                <c:pt idx="0">
                  <c:v>223691.7667138167</c:v>
                </c:pt>
                <c:pt idx="1">
                  <c:v>211826.40549272241</c:v>
                </c:pt>
                <c:pt idx="2">
                  <c:v>201867.82002119368</c:v>
                </c:pt>
                <c:pt idx="3">
                  <c:v>200318.95601755742</c:v>
                </c:pt>
                <c:pt idx="4">
                  <c:v>379447.02022940392</c:v>
                </c:pt>
                <c:pt idx="5">
                  <c:v>56030.682358067141</c:v>
                </c:pt>
                <c:pt idx="6">
                  <c:v>344463.78176856361</c:v>
                </c:pt>
                <c:pt idx="7">
                  <c:v>547228.05414886691</c:v>
                </c:pt>
                <c:pt idx="8">
                  <c:v>571887.08531659399</c:v>
                </c:pt>
                <c:pt idx="9">
                  <c:v>379625.27595059713</c:v>
                </c:pt>
              </c:numCache>
            </c:numRef>
          </c:val>
        </c:ser>
        <c:ser>
          <c:idx val="1"/>
          <c:order val="1"/>
          <c:tx>
            <c:strRef>
              <c:f>Outflows!$B$17</c:f>
              <c:strCache>
                <c:ptCount val="1"/>
                <c:pt idx="0">
                  <c:v>APEC-developing</c:v>
                </c:pt>
              </c:strCache>
            </c:strRef>
          </c:tx>
          <c:spPr>
            <a:solidFill>
              <a:schemeClr val="tx2"/>
            </a:solidFill>
          </c:spPr>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Outflows!$M$17:$V$17</c:f>
              <c:numCache>
                <c:formatCode>#,##0</c:formatCode>
                <c:ptCount val="10"/>
                <c:pt idx="0">
                  <c:v>87734.218330841992</c:v>
                </c:pt>
                <c:pt idx="1">
                  <c:v>55403.100391428612</c:v>
                </c:pt>
                <c:pt idx="2">
                  <c:v>36924.916289194291</c:v>
                </c:pt>
                <c:pt idx="3">
                  <c:v>35390.794060895925</c:v>
                </c:pt>
                <c:pt idx="4">
                  <c:v>99867.929718731291</c:v>
                </c:pt>
                <c:pt idx="5">
                  <c:v>89299.491234898393</c:v>
                </c:pt>
                <c:pt idx="6">
                  <c:v>141543.03285125637</c:v>
                </c:pt>
                <c:pt idx="7">
                  <c:v>217268.09645082965</c:v>
                </c:pt>
                <c:pt idx="8">
                  <c:v>213294.82920789171</c:v>
                </c:pt>
                <c:pt idx="9">
                  <c:v>200032.59034129514</c:v>
                </c:pt>
              </c:numCache>
            </c:numRef>
          </c:val>
        </c:ser>
        <c:ser>
          <c:idx val="2"/>
          <c:order val="2"/>
          <c:tx>
            <c:strRef>
              <c:f>Outflows!$B$35</c:f>
              <c:strCache>
                <c:ptCount val="1"/>
                <c:pt idx="0">
                  <c:v>Rest of world</c:v>
                </c:pt>
              </c:strCache>
            </c:strRef>
          </c:tx>
          <c:spPr>
            <a:solidFill>
              <a:schemeClr val="bg1">
                <a:lumMod val="65000"/>
              </a:schemeClr>
            </a:solidFill>
          </c:spPr>
          <c:val>
            <c:numRef>
              <c:f>Outflows!$M$35:$V$35</c:f>
              <c:numCache>
                <c:formatCode>#,##0</c:formatCode>
                <c:ptCount val="10"/>
                <c:pt idx="0">
                  <c:v>921462.20127975836</c:v>
                </c:pt>
                <c:pt idx="1">
                  <c:v>485847.07332882605</c:v>
                </c:pt>
                <c:pt idx="2">
                  <c:v>298302.62796517985</c:v>
                </c:pt>
                <c:pt idx="3">
                  <c:v>330022.59805670759</c:v>
                </c:pt>
                <c:pt idx="4">
                  <c:v>440937.91747184831</c:v>
                </c:pt>
                <c:pt idx="5">
                  <c:v>747762.68572166096</c:v>
                </c:pt>
                <c:pt idx="6">
                  <c:v>924567.01318020246</c:v>
                </c:pt>
                <c:pt idx="7">
                  <c:v>1503051.1397509705</c:v>
                </c:pt>
                <c:pt idx="8">
                  <c:v>1143616.7847207896</c:v>
                </c:pt>
                <c:pt idx="9">
                  <c:v>521335.34476426593</c:v>
                </c:pt>
              </c:numCache>
            </c:numRef>
          </c:val>
        </c:ser>
        <c:overlap val="100"/>
        <c:axId val="107008768"/>
        <c:axId val="107010304"/>
      </c:barChart>
      <c:catAx>
        <c:axId val="107008768"/>
        <c:scaling>
          <c:orientation val="minMax"/>
        </c:scaling>
        <c:axPos val="b"/>
        <c:tickLblPos val="nextTo"/>
        <c:crossAx val="107010304"/>
        <c:crosses val="autoZero"/>
        <c:auto val="1"/>
        <c:lblAlgn val="ctr"/>
        <c:lblOffset val="100"/>
      </c:catAx>
      <c:valAx>
        <c:axId val="107010304"/>
        <c:scaling>
          <c:orientation val="minMax"/>
        </c:scaling>
        <c:axPos val="l"/>
        <c:majorGridlines/>
        <c:title>
          <c:tx>
            <c:rich>
              <a:bodyPr rot="-5400000" vert="horz"/>
              <a:lstStyle/>
              <a:p>
                <a:pPr>
                  <a:defRPr b="0"/>
                </a:pPr>
                <a:r>
                  <a:rPr lang="en-US" b="0"/>
                  <a:t>billions of USD</a:t>
                </a:r>
              </a:p>
            </c:rich>
          </c:tx>
        </c:title>
        <c:numFmt formatCode="#,##0" sourceLinked="1"/>
        <c:majorTickMark val="none"/>
        <c:tickLblPos val="nextTo"/>
        <c:crossAx val="107008768"/>
        <c:crosses val="autoZero"/>
        <c:crossBetween val="between"/>
        <c:dispUnits>
          <c:builtInUnit val="thousands"/>
        </c:dispUnits>
      </c:valAx>
      <c:spPr>
        <a:noFill/>
        <a:ln>
          <a:solidFill>
            <a:sysClr val="windowText" lastClr="000000"/>
          </a:solidFill>
        </a:ln>
      </c:spPr>
    </c:plotArea>
    <c:legend>
      <c:legendPos val="r"/>
      <c:layout>
        <c:manualLayout>
          <c:xMode val="edge"/>
          <c:yMode val="edge"/>
          <c:x val="0.16291605641836254"/>
          <c:y val="9.004980676628048E-2"/>
          <c:w val="0.33941935324122346"/>
          <c:h val="0.18635583937834543"/>
        </c:manualLayout>
      </c:layout>
      <c:spPr>
        <a:noFill/>
        <a:ln>
          <a:noFill/>
        </a:ln>
      </c:spPr>
    </c:legend>
    <c:plotVisOnly val="1"/>
    <c:dispBlanksAs val="gap"/>
  </c:chart>
  <c:spPr>
    <a:noFill/>
  </c:spPr>
  <c:txPr>
    <a:bodyPr/>
    <a:lstStyle/>
    <a:p>
      <a:pPr>
        <a:defRPr sz="8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875005437856179"/>
          <c:y val="5.0523411536015653E-2"/>
          <c:w val="0.75539737436135401"/>
          <c:h val="0.80166832388272258"/>
        </c:manualLayout>
      </c:layout>
      <c:barChart>
        <c:barDir val="col"/>
        <c:grouping val="stacked"/>
        <c:ser>
          <c:idx val="0"/>
          <c:order val="0"/>
          <c:tx>
            <c:strRef>
              <c:f>'Inward stock'!$B$10</c:f>
              <c:strCache>
                <c:ptCount val="1"/>
                <c:pt idx="0">
                  <c:v>APEC-industrialized</c:v>
                </c:pt>
              </c:strCache>
            </c:strRef>
          </c:tx>
          <c:val>
            <c:numRef>
              <c:f>'Inward stock'!$M$10:$V$10</c:f>
              <c:numCache>
                <c:formatCode>#,##0</c:formatCode>
                <c:ptCount val="10"/>
                <c:pt idx="0">
                  <c:v>3190024.6619669162</c:v>
                </c:pt>
                <c:pt idx="1">
                  <c:v>2967075.2932003904</c:v>
                </c:pt>
                <c:pt idx="2">
                  <c:v>2505984.6569089778</c:v>
                </c:pt>
                <c:pt idx="3">
                  <c:v>3091401.3625666467</c:v>
                </c:pt>
                <c:pt idx="4">
                  <c:v>3466209.7226054207</c:v>
                </c:pt>
                <c:pt idx="5">
                  <c:v>3554152.2459986033</c:v>
                </c:pt>
                <c:pt idx="6">
                  <c:v>4131059.1602203962</c:v>
                </c:pt>
                <c:pt idx="7">
                  <c:v>4698835.8105206415</c:v>
                </c:pt>
                <c:pt idx="8">
                  <c:v>3555079.5814369302</c:v>
                </c:pt>
                <c:pt idx="9">
                  <c:v>4240386.1904496904</c:v>
                </c:pt>
              </c:numCache>
            </c:numRef>
          </c:val>
        </c:ser>
        <c:ser>
          <c:idx val="1"/>
          <c:order val="1"/>
          <c:tx>
            <c:strRef>
              <c:f>'Inward stock'!$B$17</c:f>
              <c:strCache>
                <c:ptCount val="1"/>
                <c:pt idx="0">
                  <c:v>APEC-developing</c:v>
                </c:pt>
              </c:strCache>
            </c:strRef>
          </c:tx>
          <c:spPr>
            <a:solidFill>
              <a:schemeClr val="tx2"/>
            </a:solidFill>
          </c:spPr>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'Inward stock'!$M$17:$V$17</c:f>
              <c:numCache>
                <c:formatCode>#,##0</c:formatCode>
                <c:ptCount val="10"/>
                <c:pt idx="0">
                  <c:v>1155560.900690767</c:v>
                </c:pt>
                <c:pt idx="1">
                  <c:v>1198297.336919185</c:v>
                </c:pt>
                <c:pt idx="2">
                  <c:v>1195539.0824710198</c:v>
                </c:pt>
                <c:pt idx="3">
                  <c:v>1352433.3820134588</c:v>
                </c:pt>
                <c:pt idx="4">
                  <c:v>1559857.2392438501</c:v>
                </c:pt>
                <c:pt idx="5">
                  <c:v>1838852.8304472491</c:v>
                </c:pt>
                <c:pt idx="6">
                  <c:v>2307033.2124471143</c:v>
                </c:pt>
                <c:pt idx="7">
                  <c:v>3211008.0601090007</c:v>
                </c:pt>
                <c:pt idx="8">
                  <c:v>2620726.9464368373</c:v>
                </c:pt>
                <c:pt idx="9">
                  <c:v>2945020.8629994062</c:v>
                </c:pt>
              </c:numCache>
            </c:numRef>
          </c:val>
        </c:ser>
        <c:ser>
          <c:idx val="2"/>
          <c:order val="2"/>
          <c:tx>
            <c:strRef>
              <c:f>'Inward stock'!$B$35</c:f>
              <c:strCache>
                <c:ptCount val="1"/>
                <c:pt idx="0">
                  <c:v>Rest of world</c:v>
                </c:pt>
              </c:strCache>
            </c:strRef>
          </c:tx>
          <c:spPr>
            <a:solidFill>
              <a:schemeClr val="bg1">
                <a:lumMod val="75000"/>
              </a:schemeClr>
            </a:solidFill>
          </c:spPr>
          <c:val>
            <c:numRef>
              <c:f>'Inward stock'!$M$35:$V$35</c:f>
              <c:numCache>
                <c:formatCode>#,##0</c:formatCode>
                <c:ptCount val="10"/>
                <c:pt idx="0">
                  <c:v>3096962.4541417193</c:v>
                </c:pt>
                <c:pt idx="1">
                  <c:v>3303595.2475170032</c:v>
                </c:pt>
                <c:pt idx="2">
                  <c:v>3817556.2853931952</c:v>
                </c:pt>
                <c:pt idx="3">
                  <c:v>4928993.763359732</c:v>
                </c:pt>
                <c:pt idx="4">
                  <c:v>6029448.0425183149</c:v>
                </c:pt>
                <c:pt idx="5">
                  <c:v>6131863.577235003</c:v>
                </c:pt>
                <c:pt idx="6">
                  <c:v>7837641.7310568737</c:v>
                </c:pt>
                <c:pt idx="7">
                  <c:v>10080225.302169919</c:v>
                </c:pt>
                <c:pt idx="8">
                  <c:v>9315375.232881505</c:v>
                </c:pt>
                <c:pt idx="9">
                  <c:v>10558000.718629437</c:v>
                </c:pt>
              </c:numCache>
            </c:numRef>
          </c:val>
        </c:ser>
        <c:overlap val="100"/>
        <c:axId val="106932864"/>
        <c:axId val="106938752"/>
      </c:barChart>
      <c:lineChart>
        <c:grouping val="standard"/>
        <c:ser>
          <c:idx val="4"/>
          <c:order val="3"/>
          <c:tx>
            <c:strRef>
              <c:f>'Inward stock'!$B$38</c:f>
              <c:strCache>
                <c:ptCount val="1"/>
                <c:pt idx="0">
                  <c:v>APEC % of GDP</c:v>
                </c:pt>
              </c:strCache>
            </c:strRef>
          </c:tx>
          <c:spPr>
            <a:ln>
              <a:solidFill>
                <a:srgbClr val="92D050"/>
              </a:solidFill>
            </a:ln>
          </c:spPr>
          <c:marker>
            <c:symbol val="none"/>
          </c:marker>
          <c:val>
            <c:numRef>
              <c:f>'Inward stock'!$M$38:$U$38</c:f>
              <c:numCache>
                <c:formatCode>0.00</c:formatCode>
                <c:ptCount val="9"/>
                <c:pt idx="0">
                  <c:v>14.467538727000004</c:v>
                </c:pt>
                <c:pt idx="1">
                  <c:v>15.255472315500034</c:v>
                </c:pt>
                <c:pt idx="2">
                  <c:v>15.111869751199999</c:v>
                </c:pt>
                <c:pt idx="3">
                  <c:v>15.7889342467</c:v>
                </c:pt>
                <c:pt idx="4">
                  <c:v>16.259754906800001</c:v>
                </c:pt>
                <c:pt idx="5">
                  <c:v>16.562336484399896</c:v>
                </c:pt>
                <c:pt idx="6">
                  <c:v>18.2869481153</c:v>
                </c:pt>
                <c:pt idx="7">
                  <c:v>21.494105110500001</c:v>
                </c:pt>
                <c:pt idx="8">
                  <c:v>18.147327518200001</c:v>
                </c:pt>
              </c:numCache>
            </c:numRef>
          </c:val>
        </c:ser>
        <c:ser>
          <c:idx val="3"/>
          <c:order val="4"/>
          <c:tx>
            <c:strRef>
              <c:f>'Inward stock'!$B$39</c:f>
              <c:strCache>
                <c:ptCount val="1"/>
                <c:pt idx="0">
                  <c:v>World % of GDP</c:v>
                </c:pt>
              </c:strCache>
            </c:strRef>
          </c:tx>
          <c:spPr>
            <a:ln>
              <a:solidFill>
                <a:schemeClr val="tx1"/>
              </a:solidFill>
            </a:ln>
          </c:spPr>
          <c:marker>
            <c:symbol val="none"/>
          </c:marker>
          <c:val>
            <c:numRef>
              <c:f>'Inward stock'!$M$39:$V$39</c:f>
              <c:numCache>
                <c:formatCode>0.00</c:formatCode>
                <c:ptCount val="10"/>
                <c:pt idx="0">
                  <c:v>18.046870345199999</c:v>
                </c:pt>
                <c:pt idx="1">
                  <c:v>19.342871917800053</c:v>
                </c:pt>
                <c:pt idx="2">
                  <c:v>20.422481100099986</c:v>
                </c:pt>
                <c:pt idx="3">
                  <c:v>22.007623529999989</c:v>
                </c:pt>
                <c:pt idx="4">
                  <c:v>23.0312414345</c:v>
                </c:pt>
                <c:pt idx="5">
                  <c:v>22.282738189099934</c:v>
                </c:pt>
                <c:pt idx="6">
                  <c:v>25.425126887499896</c:v>
                </c:pt>
                <c:pt idx="7">
                  <c:v>28.664365028700058</c:v>
                </c:pt>
                <c:pt idx="8">
                  <c:v>24.376841238800001</c:v>
                </c:pt>
                <c:pt idx="9" formatCode="0.0;\-0.0;\-">
                  <c:v>9.0575237072620158</c:v>
                </c:pt>
              </c:numCache>
            </c:numRef>
          </c:val>
        </c:ser>
        <c:marker val="1"/>
        <c:axId val="106967808"/>
        <c:axId val="106941056"/>
      </c:lineChart>
      <c:catAx>
        <c:axId val="106932864"/>
        <c:scaling>
          <c:orientation val="minMax"/>
        </c:scaling>
        <c:axPos val="b"/>
        <c:tickLblPos val="nextTo"/>
        <c:crossAx val="106938752"/>
        <c:crosses val="autoZero"/>
        <c:auto val="1"/>
        <c:lblAlgn val="ctr"/>
        <c:lblOffset val="100"/>
      </c:catAx>
      <c:valAx>
        <c:axId val="106938752"/>
        <c:scaling>
          <c:orientation val="minMax"/>
        </c:scaling>
        <c:axPos val="l"/>
        <c:majorGridlines/>
        <c:title>
          <c:tx>
            <c:rich>
              <a:bodyPr rot="-5400000" vert="horz"/>
              <a:lstStyle/>
              <a:p>
                <a:pPr>
                  <a:defRPr b="0"/>
                </a:pPr>
                <a:r>
                  <a:rPr lang="en-US" b="0"/>
                  <a:t>billions of USD</a:t>
                </a:r>
              </a:p>
            </c:rich>
          </c:tx>
        </c:title>
        <c:numFmt formatCode="#,##0" sourceLinked="1"/>
        <c:majorTickMark val="none"/>
        <c:tickLblPos val="nextTo"/>
        <c:crossAx val="106932864"/>
        <c:crosses val="autoZero"/>
        <c:crossBetween val="between"/>
        <c:majorUnit val="5000000"/>
        <c:dispUnits>
          <c:builtInUnit val="thousands"/>
        </c:dispUnits>
      </c:valAx>
      <c:valAx>
        <c:axId val="106941056"/>
        <c:scaling>
          <c:orientation val="minMax"/>
        </c:scaling>
        <c:axPos val="r"/>
        <c:title>
          <c:tx>
            <c:rich>
              <a:bodyPr rot="0" vert="horz"/>
              <a:lstStyle/>
              <a:p>
                <a:pPr>
                  <a:defRPr b="0"/>
                </a:pPr>
                <a:r>
                  <a:rPr lang="en-US" b="0"/>
                  <a:t>%</a:t>
                </a:r>
              </a:p>
            </c:rich>
          </c:tx>
        </c:title>
        <c:numFmt formatCode="0" sourceLinked="0"/>
        <c:majorTickMark val="none"/>
        <c:tickLblPos val="nextTo"/>
        <c:crossAx val="106967808"/>
        <c:crosses val="max"/>
        <c:crossBetween val="between"/>
      </c:valAx>
      <c:catAx>
        <c:axId val="106967808"/>
        <c:scaling>
          <c:orientation val="minMax"/>
        </c:scaling>
        <c:delete val="1"/>
        <c:axPos val="b"/>
        <c:tickLblPos val="none"/>
        <c:crossAx val="106941056"/>
        <c:crosses val="autoZero"/>
        <c:auto val="1"/>
        <c:lblAlgn val="ctr"/>
        <c:lblOffset val="100"/>
      </c:catAx>
      <c:spPr>
        <a:noFill/>
        <a:ln>
          <a:solidFill>
            <a:sysClr val="windowText" lastClr="000000"/>
          </a:solidFill>
        </a:ln>
      </c:spPr>
    </c:plotArea>
    <c:legend>
      <c:legendPos val="r"/>
      <c:layout>
        <c:manualLayout>
          <c:xMode val="edge"/>
          <c:yMode val="edge"/>
          <c:x val="0.15913221482673828"/>
          <c:y val="6.1202389071444797E-2"/>
          <c:w val="0.36847396837826396"/>
          <c:h val="0.25814797112022336"/>
        </c:manualLayout>
      </c:layout>
      <c:spPr>
        <a:solidFill>
          <a:sysClr val="window" lastClr="FFFFFF"/>
        </a:solidFill>
        <a:ln>
          <a:solidFill>
            <a:schemeClr val="bg1"/>
          </a:solidFill>
        </a:ln>
      </c:spPr>
    </c:legend>
    <c:plotVisOnly val="1"/>
    <c:dispBlanksAs val="gap"/>
  </c:chart>
  <c:spPr>
    <a:noFill/>
  </c:spPr>
  <c:txPr>
    <a:bodyPr/>
    <a:lstStyle/>
    <a:p>
      <a:pPr>
        <a:defRPr sz="8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621598411942794"/>
          <c:y val="5.0523411536015653E-2"/>
          <c:w val="0.81574302184571468"/>
          <c:h val="0.80166832388272258"/>
        </c:manualLayout>
      </c:layout>
      <c:barChart>
        <c:barDir val="col"/>
        <c:grouping val="stacked"/>
        <c:ser>
          <c:idx val="0"/>
          <c:order val="0"/>
          <c:tx>
            <c:strRef>
              <c:f>'Outward stock'!$B$10</c:f>
              <c:strCache>
                <c:ptCount val="1"/>
                <c:pt idx="0">
                  <c:v>APEC-industrialized</c:v>
                </c:pt>
              </c:strCache>
            </c:strRef>
          </c:tx>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'Outward stock'!$M$10:$V$10</c:f>
              <c:numCache>
                <c:formatCode>#,##0</c:formatCode>
                <c:ptCount val="10"/>
                <c:pt idx="0">
                  <c:v>3314564.6451139357</c:v>
                </c:pt>
                <c:pt idx="1">
                  <c:v>2995178.9318966228</c:v>
                </c:pt>
                <c:pt idx="2">
                  <c:v>2740861.0311260852</c:v>
                </c:pt>
                <c:pt idx="3">
                  <c:v>3579414.2129072882</c:v>
                </c:pt>
                <c:pt idx="4">
                  <c:v>4349170.1078182515</c:v>
                </c:pt>
                <c:pt idx="5">
                  <c:v>4633379.9446808994</c:v>
                </c:pt>
                <c:pt idx="6">
                  <c:v>5645295.2644164143</c:v>
                </c:pt>
                <c:pt idx="7">
                  <c:v>6691970.1817766605</c:v>
                </c:pt>
                <c:pt idx="8">
                  <c:v>4561306.7470295103</c:v>
                </c:pt>
                <c:pt idx="9">
                  <c:v>5969364.2034963109</c:v>
                </c:pt>
              </c:numCache>
            </c:numRef>
          </c:val>
        </c:ser>
        <c:ser>
          <c:idx val="1"/>
          <c:order val="1"/>
          <c:tx>
            <c:strRef>
              <c:f>'Outward stock'!$B$17</c:f>
              <c:strCache>
                <c:ptCount val="1"/>
                <c:pt idx="0">
                  <c:v>APEC-developing</c:v>
                </c:pt>
              </c:strCache>
            </c:strRef>
          </c:tx>
          <c:spPr>
            <a:solidFill>
              <a:schemeClr val="tx2"/>
            </a:solidFill>
          </c:spPr>
          <c:cat>
            <c:strRef>
              <c:f>Inflows!$M$4:$V$4</c:f>
              <c:strCache>
                <c:ptCount val="10"/>
                <c:pt idx="0">
                  <c:v>2000</c:v>
                </c:pt>
                <c:pt idx="1">
                  <c:v>2001</c:v>
                </c:pt>
                <c:pt idx="2">
                  <c:v>2002</c:v>
                </c:pt>
                <c:pt idx="3">
                  <c:v>2003</c:v>
                </c:pt>
                <c:pt idx="4">
                  <c:v>2004</c:v>
                </c:pt>
                <c:pt idx="5">
                  <c:v>2005</c:v>
                </c:pt>
                <c:pt idx="6">
                  <c:v>2006</c:v>
                </c:pt>
                <c:pt idx="7">
                  <c:v>2007</c:v>
                </c:pt>
                <c:pt idx="8">
                  <c:v>2008</c:v>
                </c:pt>
                <c:pt idx="9">
                  <c:v>2009</c:v>
                </c:pt>
              </c:strCache>
            </c:strRef>
          </c:cat>
          <c:val>
            <c:numRef>
              <c:f>'Outward stock'!$M$17:$V$17</c:f>
              <c:numCache>
                <c:formatCode>#,##0</c:formatCode>
                <c:ptCount val="10"/>
                <c:pt idx="0">
                  <c:v>634241.25335385615</c:v>
                </c:pt>
                <c:pt idx="1">
                  <c:v>637656.42674026871</c:v>
                </c:pt>
                <c:pt idx="2">
                  <c:v>639048.81549509242</c:v>
                </c:pt>
                <c:pt idx="3">
                  <c:v>719159.74277220666</c:v>
                </c:pt>
                <c:pt idx="4">
                  <c:v>858682.23702075111</c:v>
                </c:pt>
                <c:pt idx="5">
                  <c:v>1037692.4465579498</c:v>
                </c:pt>
                <c:pt idx="6">
                  <c:v>1429981.9724364448</c:v>
                </c:pt>
                <c:pt idx="7">
                  <c:v>2103234.5888784672</c:v>
                </c:pt>
                <c:pt idx="8">
                  <c:v>1786345.103683159</c:v>
                </c:pt>
                <c:pt idx="9">
                  <c:v>2048072.6293293738</c:v>
                </c:pt>
              </c:numCache>
            </c:numRef>
          </c:val>
        </c:ser>
        <c:ser>
          <c:idx val="2"/>
          <c:order val="2"/>
          <c:tx>
            <c:strRef>
              <c:f>'Outward stock'!$B$35</c:f>
              <c:strCache>
                <c:ptCount val="1"/>
                <c:pt idx="0">
                  <c:v>Rest of world</c:v>
                </c:pt>
              </c:strCache>
            </c:strRef>
          </c:tx>
          <c:spPr>
            <a:solidFill>
              <a:schemeClr val="bg1">
                <a:lumMod val="65000"/>
              </a:schemeClr>
            </a:solidFill>
          </c:spPr>
          <c:val>
            <c:numRef>
              <c:f>'Outward stock'!$M$35:$V$35</c:f>
              <c:numCache>
                <c:formatCode>#,##0</c:formatCode>
                <c:ptCount val="10"/>
                <c:pt idx="0">
                  <c:v>4018654.1676920792</c:v>
                </c:pt>
                <c:pt idx="1">
                  <c:v>4051820.276007487</c:v>
                </c:pt>
                <c:pt idx="2">
                  <c:v>4384381.3738860162</c:v>
                </c:pt>
                <c:pt idx="3">
                  <c:v>5568284.6567412317</c:v>
                </c:pt>
                <c:pt idx="4">
                  <c:v>6431653.4712957377</c:v>
                </c:pt>
                <c:pt idx="5">
                  <c:v>6745766.5869294684</c:v>
                </c:pt>
                <c:pt idx="6">
                  <c:v>8585729.240312675</c:v>
                </c:pt>
                <c:pt idx="7">
                  <c:v>10518776.549343713</c:v>
                </c:pt>
                <c:pt idx="8">
                  <c:v>9859143.2602505591</c:v>
                </c:pt>
                <c:pt idx="9">
                  <c:v>10964680.852027332</c:v>
                </c:pt>
              </c:numCache>
            </c:numRef>
          </c:val>
        </c:ser>
        <c:overlap val="100"/>
        <c:axId val="122701312"/>
        <c:axId val="122702848"/>
      </c:barChart>
      <c:catAx>
        <c:axId val="122701312"/>
        <c:scaling>
          <c:orientation val="minMax"/>
        </c:scaling>
        <c:axPos val="b"/>
        <c:tickLblPos val="nextTo"/>
        <c:crossAx val="122702848"/>
        <c:crosses val="autoZero"/>
        <c:auto val="1"/>
        <c:lblAlgn val="ctr"/>
        <c:lblOffset val="100"/>
      </c:catAx>
      <c:valAx>
        <c:axId val="122702848"/>
        <c:scaling>
          <c:orientation val="minMax"/>
        </c:scaling>
        <c:axPos val="l"/>
        <c:majorGridlines/>
        <c:title>
          <c:tx>
            <c:rich>
              <a:bodyPr rot="-5400000" vert="horz"/>
              <a:lstStyle/>
              <a:p>
                <a:pPr>
                  <a:defRPr b="0"/>
                </a:pPr>
                <a:r>
                  <a:rPr lang="en-US" b="0"/>
                  <a:t>billions of USD</a:t>
                </a:r>
              </a:p>
            </c:rich>
          </c:tx>
        </c:title>
        <c:numFmt formatCode="#,##0" sourceLinked="1"/>
        <c:majorTickMark val="none"/>
        <c:tickLblPos val="nextTo"/>
        <c:crossAx val="122701312"/>
        <c:crosses val="autoZero"/>
        <c:crossBetween val="between"/>
        <c:dispUnits>
          <c:builtInUnit val="thousands"/>
        </c:dispUnits>
      </c:valAx>
      <c:spPr>
        <a:noFill/>
        <a:ln>
          <a:solidFill>
            <a:sysClr val="windowText" lastClr="000000"/>
          </a:solidFill>
        </a:ln>
      </c:spPr>
    </c:plotArea>
    <c:legend>
      <c:legendPos val="r"/>
      <c:layout>
        <c:manualLayout>
          <c:xMode val="edge"/>
          <c:yMode val="edge"/>
          <c:x val="0.1667527660561767"/>
          <c:y val="9.0136193605720533E-2"/>
          <c:w val="0.35375641062822949"/>
          <c:h val="0.18110649554632521"/>
        </c:manualLayout>
      </c:layout>
      <c:spPr>
        <a:noFill/>
        <a:ln>
          <a:noFill/>
        </a:ln>
      </c:spPr>
    </c:legend>
    <c:plotVisOnly val="1"/>
    <c:dispBlanksAs val="gap"/>
  </c:chart>
  <c:spPr>
    <a:noFill/>
  </c:spPr>
  <c:txPr>
    <a:bodyPr/>
    <a:lstStyle/>
    <a:p>
      <a:pPr>
        <a:defRPr sz="8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8525-B630-4652-B63E-C54B8E51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APEC Communications</cp:lastModifiedBy>
  <cp:revision>3</cp:revision>
  <cp:lastPrinted>2010-07-22T02:01:00Z</cp:lastPrinted>
  <dcterms:created xsi:type="dcterms:W3CDTF">2010-07-22T02:21:00Z</dcterms:created>
  <dcterms:modified xsi:type="dcterms:W3CDTF">2010-07-23T07:55:00Z</dcterms:modified>
</cp:coreProperties>
</file>